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Toolkit Studio insights checklist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What the toolkit is for — naming systems and disparity risk, not labeling people.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Use: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Browse and download only. Fill this in offline.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Insight vs checkbox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Insight = design change, involvement path, honest gap, or owner + revisit date. “We considered equity” is a checkbox.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Briefs help you ask better questions. They do not tell you what an individual believes, needs, or prefers.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Name the process, not the people.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Confirm preferences with the person. Involve partners when the decision affects communities.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Anti-racism beat: Does this continue a race-neutral process that has already produced unequal access or outcomes? What alternative redistributes burden?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Companion practice questions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Desired results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Engagement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Benefits, burdens, and design change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Impact statement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Accountability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Alignment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Sustainability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Choose the appropriate review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current official guidance to determine the required review. A short timeline alone does not establish that an equity scan is sufficient. Follow the official analysis, review and documentation process.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Toolkit Studio insights checklist</dc:title>
  <dc:creator>One DSD People, Access and Culture</dc:creator>
  <dc:description>What the toolkit is for — naming systems and disparity risk, not labeling people.</dc:description>
  <cp:lastModifiedBy>Un-named</cp:lastModifiedBy>
  <cp:revision>1</cp:revision>
  <dcterms:created xsi:type="dcterms:W3CDTF">2026-10-05T02:14:37.703Z</dcterms:created>
  <dcterms:modified xsi:type="dcterms:W3CDTF">2026-10-05T02:14:37.703Z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