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Toolkit Studio insights checklist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What the toolkit is for — naming systems and disparity risk, not labeling people.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Use: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Browse and download only. Fill this in offline.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Insight vs checkbox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Insight = design change, involvement path, honest gap, or owner + revisit date. “We considered equity” is a checkbox.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Briefs help you ask better questions. They do not tell you what an individual believes, needs, or prefers.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Name the process, not the people.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Confirm preferences with the person. Involve partners when the decision affects communities.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Anti-racism beat: Does this continue a race-neutral process that has already produced unequal access or outcomes? What alternative redistributes burden?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Companion practice questions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Desired results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Engagement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Benefits, burdens, and design change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Impact statement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Accountability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Alignment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Sustainability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Choose the appropriate review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current official guidance to determine the required review. A short timeline alone does not establish that an equity scan is sufficient. Follow the official analysis, review and documentation process.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Toolkit Studio insights checklist</dc:title>
  <dc:creator>One DHS People, Access and Culture</dc:creator>
  <dc:description>What the toolkit is for — naming systems and disparity risk, not labeling people.</dc:description>
  <cp:lastModifiedBy>Un-named</cp:lastModifiedBy>
  <cp:revision>1</cp:revision>
  <dcterms:created xsi:type="dcterms:W3CDTF">2026-10-04T23:31:57.267Z</dcterms:created>
  <dcterms:modified xsi:type="dcterms:W3CDTF">2026-10-04T23:31:57.267Z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