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blank worksheet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Offline fields mapped to the companion practice questions. Do not send this form to the program.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Before the eight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 name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Lock date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Scan or full analysis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Steps 1–8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1. Desired results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2. Data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3. Engagement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4. Benefits, burdens, and design change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5. Impact statement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6. Accountability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7. Alignment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8. Sustainability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Formal doors checked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Disability communication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Equity Director / committee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Tribal / Office of Indian Policy if Nation-impacted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Equal Opportunity and Access if triggered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Labor relations if required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Label each source Official / Guidance / Outside source.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blank worksheet</dc:title>
  <dc:creator>One DSD People, Access and Culture</dc:creator>
  <dc:description>Offline fields mapped to the companion practice questions. Do not send this form to the program.</dc:description>
  <cp:lastModifiedBy>Un-named</cp:lastModifiedBy>
  <cp:revision>1</cp:revision>
  <dcterms:created xsi:type="dcterms:W3CDTF">2026-10-05T02:16:41.882Z</dcterms:created>
  <dcterms:modified xsi:type="dcterms:W3CDTF">2026-10-05T02:16:41.882Z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