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PROGRAM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Division leadership, legislative work, and strategy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Division direction, legislative coordination, and the DSD equity implementation plan.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entry points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Decision rights and bottlenecks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Funded and staffed equity commitments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Reporting back to staff on what changed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Connected areas of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Leadership, governance, and systems change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Division leadership, legislative work, and strategy</dc:title>
  <dc:creator>One DSD People, Access and Culture</dc:creator>
  <dc:description>Division direction, legislative coordination, and the DSD equity implementation plan.</dc:description>
  <cp:lastModifiedBy>Un-named</cp:lastModifiedBy>
  <cp:revision>1</cp:revision>
  <dcterms:created xsi:type="dcterms:W3CDTF">2026-10-05T01:12:50.909Z</dcterms:created>
  <dcterms:modified xsi:type="dcterms:W3CDTF">2026-10-05T01:12:50.909Z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