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PROGRAM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Training, communication, and strategic communications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Division learning, internal and external communication, and plain-language practice.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Equity entry points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Plain language and accessible documents by default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Language access in every channel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Learning that is voluntary and private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Connected areas of work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Accessibility, language access, and inclusive operations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culture, intercultural practice, and trust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Training, communication, and strategic communications</dc:title>
  <dc:creator>One DSD People, Access and Culture</dc:creator>
  <dc:description>Division learning, internal and external communication, and plain-language practice.</dc:description>
  <cp:lastModifiedBy>Un-named</cp:lastModifiedBy>
  <cp:revision>1</cp:revision>
  <dcterms:created xsi:type="dcterms:W3CDTF">2026-10-04T23:29:25.843Z</dcterms:created>
  <dcterms:modified xsi:type="dcterms:W3CDTF">2026-10-04T23:29:25.843Z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