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PLANNING WORK WITH A COMMUNITY</w:t>
      </w:r>
    </w:p>
    <w:p>
      <w:pPr>
        <w:spacing w:after="120"/>
      </w:pPr>
      <w:r>
        <w:rPr>
          <w:rFonts w:ascii="Aptos" w:cs="Aptos" w:eastAsia="Aptos" w:hAnsi="Aptos"/>
          <w:b/>
          <w:bCs/>
          <w:color w:val="003865"/>
          <w:sz w:val="40"/>
          <w:szCs w:val="40"/>
        </w:rPr>
        <w:t xml:space="preserve">Community engagement or co-design effort</w:t>
      </w:r>
    </w:p>
    <w:p>
      <w:pPr>
        <w:spacing w:after="160"/>
      </w:pPr>
      <w:r>
        <w:rPr>
          <w:rFonts w:ascii="Aptos" w:cs="Aptos" w:eastAsia="Aptos" w:hAnsi="Aptos"/>
          <w:i/>
          <w:iCs/>
          <w:color w:val="353532"/>
          <w:sz w:val="23"/>
          <w:szCs w:val="23"/>
        </w:rPr>
        <w:t xml:space="preserve">You are planning community engagement and want the work to be respectful, useful, and grounded in what people actually need.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an engagement plan grounded in the relevant Minnesota Communities briefs, with access needs, partners, and assumptions clearly addressed. Review each relevant brief before completing the plan.</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Outreach, listening sessions, advisory groups, co-design</w:t>
      </w:r>
    </w:p>
    <w:p>
      <w:pPr>
        <w:pStyle w:val="ListParagraph"/>
        <w:numPr>
          <w:ilvl w:val="0"/>
          <w:numId w:val="2"/>
        </w:numPr>
        <w:spacing w:after="80" w:line="290"/>
      </w:pPr>
      <w:r>
        <w:rPr>
          <w:rFonts w:ascii="Aptos" w:cs="Aptos" w:eastAsia="Aptos" w:hAnsi="Aptos"/>
          <w:color w:val="181817"/>
          <w:sz w:val="22"/>
          <w:szCs w:val="22"/>
        </w:rPr>
        <w:t xml:space="preserve">Work that names Minnesota communities or partners</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Plan a respectful approach</w:t>
      </w:r>
      <w:r>
        <w:rPr>
          <w:rFonts w:ascii="Aptos" w:cs="Aptos" w:eastAsia="Aptos" w:hAnsi="Aptos"/>
          <w:color w:val="181817"/>
          <w:sz w:val="22"/>
          <w:szCs w:val="22"/>
        </w:rPr>
        <w:t xml:space="preserve"> — Use Ask to consider how the partnership commitments and anti-profiling practices apply to your work.</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/ask?path=gp-3</w:t>
      </w:r>
    </w:p>
    <w:p>
      <w:pPr>
        <w:pStyle w:val="ListParagraph"/>
        <w:numPr>
          <w:ilvl w:val="0"/>
          <w:numId w:val="3"/>
        </w:numPr>
        <w:spacing w:after="80" w:line="290"/>
      </w:pPr>
      <w:r>
        <w:rPr>
          <w:rFonts w:ascii="Aptos" w:cs="Aptos" w:eastAsia="Aptos" w:hAnsi="Aptos"/>
          <w:b/>
          <w:bCs/>
          <w:color w:val="181817"/>
          <w:sz w:val="22"/>
          <w:szCs w:val="22"/>
        </w:rPr>
        <w:t xml:space="preserve">Read the relevant community briefs</w:t>
      </w:r>
      <w:r>
        <w:rPr>
          <w:rFonts w:ascii="Aptos" w:cs="Aptos" w:eastAsia="Aptos" w:hAnsi="Aptos"/>
          <w:color w:val="181817"/>
          <w:sz w:val="22"/>
          <w:szCs w:val="22"/>
        </w:rPr>
        <w:t xml:space="preserve"> (Needed for this optional worksheet)</w:t>
      </w:r>
      <w:r>
        <w:rPr>
          <w:rFonts w:ascii="Aptos" w:cs="Aptos" w:eastAsia="Aptos" w:hAnsi="Aptos"/>
          <w:color w:val="181817"/>
          <w:sz w:val="22"/>
          <w:szCs w:val="22"/>
        </w:rPr>
        <w:t xml:space="preserve"> — Open the brief for each community named in the work. Read the overview and the guidance on what to ask, access needs, who to involve, and what not to assume. Note in your plan which briefs you reviewed.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meeting and outreach access checklist, partner map, and language access checklist as needed.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 checks before a meeting or outreach</w:t>
      </w:r>
      <w:r>
        <w:rPr>
          <w:rFonts w:ascii="Aptos" w:cs="Aptos" w:eastAsia="Aptos" w:hAnsi="Aptos"/>
          <w:color w:val="181817"/>
          <w:sz w:val="22"/>
          <w:szCs w:val="22"/>
        </w:rPr>
        <w:t xml:space="preserve"> — program page /library/ja-access-checks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ListParagraph"/>
        <w:numPr>
          <w:ilvl w:val="0"/>
          <w:numId w:val="3"/>
        </w:numPr>
        <w:spacing w:after="80" w:line="290"/>
      </w:pPr>
      <w:r>
        <w:rPr>
          <w:rFonts w:ascii="Aptos" w:cs="Aptos" w:eastAsia="Aptos" w:hAnsi="Aptos"/>
          <w:b/>
          <w:bCs/>
          <w:color w:val="181817"/>
          <w:sz w:val="22"/>
          <w:szCs w:val="22"/>
        </w:rPr>
        <w:t xml:space="preserve">Draft your engagement plan</w:t>
      </w:r>
      <w:r>
        <w:rPr>
          <w:rFonts w:ascii="Aptos" w:cs="Aptos" w:eastAsia="Aptos" w:hAnsi="Aptos"/>
          <w:color w:val="181817"/>
          <w:sz w:val="22"/>
          <w:szCs w:val="22"/>
        </w:rPr>
        <w:t xml:space="preserve"> — Include the questions you will ask, access needs, who to involve, what not to assume, compensation, and how you will report back.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you reviewed the relevant briefs, recognized differences within each community, noted what remains unknown, and did not apply group information to any one person.</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when a brief does not address your question, the work may involve trauma, or Tribal consultation may be required.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/support/request?path=gp-3</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General cultural facts with no connection to the work</w:t>
      </w:r>
    </w:p>
    <w:p>
      <w:pPr>
        <w:pStyle w:val="ListParagraph"/>
        <w:numPr>
          <w:ilvl w:val="0"/>
          <w:numId w:val="2"/>
        </w:numPr>
        <w:spacing w:after="80" w:line="290"/>
      </w:pPr>
      <w:r>
        <w:rPr>
          <w:rFonts w:ascii="Aptos" w:cs="Aptos" w:eastAsia="Aptos" w:hAnsi="Aptos"/>
          <w:color w:val="181817"/>
          <w:sz w:val="22"/>
          <w:szCs w:val="22"/>
        </w:rPr>
        <w:t xml:space="preserve">Applying information about a group to a named person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plan addresses questions, access, involvement, and assumptions</w:t>
      </w:r>
    </w:p>
    <w:p>
      <w:pPr>
        <w:pStyle w:val="ListParagraph"/>
        <w:numPr>
          <w:ilvl w:val="0"/>
          <w:numId w:val="2"/>
        </w:numPr>
        <w:spacing w:after="80" w:line="290"/>
      </w:pPr>
      <w:r>
        <w:rPr>
          <w:rFonts w:ascii="Aptos" w:cs="Aptos" w:eastAsia="Aptos" w:hAnsi="Aptos"/>
          <w:color w:val="181817"/>
          <w:sz w:val="22"/>
          <w:szCs w:val="22"/>
        </w:rPr>
        <w:t xml:space="preserve">Differences within the community are recognized</w:t>
      </w:r>
    </w:p>
    <w:p>
      <w:pPr>
        <w:pStyle w:val="ListParagraph"/>
        <w:numPr>
          <w:ilvl w:val="0"/>
          <w:numId w:val="2"/>
        </w:numPr>
        <w:spacing w:after="80" w:line="290"/>
      </w:pPr>
      <w:r>
        <w:rPr>
          <w:rFonts w:ascii="Aptos" w:cs="Aptos" w:eastAsia="Aptos" w:hAnsi="Aptos"/>
          <w:color w:val="181817"/>
          <w:sz w:val="22"/>
          <w:szCs w:val="22"/>
        </w:rPr>
        <w:t xml:space="preserve">Questions that remain are clearly noted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Briefs do not describe any one person. Please leave case details out of your notes and seek the appropriate authority before using Nation-specific guidance.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Engagement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Effort name and purpose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What decision this engagement will influence.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briefs you reviewed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List each brief and note that you read its overview and practice guidance.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will ask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open questions without asking people to relive trauma unnecessarily.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language and dialect, interpreters, captioning, timing, location, transportation, child care, and trust.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to involve, why, and in what role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their purpose, authority, compensation, and how you will report back. For Tribal Nations, consultation comes first.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Recognize differences within every community; immigration, faith, and language are not interchangeable.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Include the person who will report back to participants.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Questions that remain</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is still unknown and seek the appropriate guidance rather than guessing.</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The relevant Minnesota Communities briefs were reviewed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How should we plan a listening session with Somali families in Greater Minnesota without stereotyping?</w:t>
      </w:r>
    </w:p>
    <w:p>
      <w:pPr>
        <w:pStyle w:val="ListParagraph"/>
        <w:numPr>
          <w:ilvl w:val="0"/>
          <w:numId w:val="2"/>
        </w:numPr>
        <w:spacing w:after="80" w:line="290"/>
      </w:pPr>
      <w:r>
        <w:rPr>
          <w:rFonts w:ascii="Aptos" w:cs="Aptos" w:eastAsia="Aptos" w:hAnsi="Aptos"/>
          <w:color w:val="181817"/>
          <w:sz w:val="22"/>
          <w:szCs w:val="22"/>
        </w:rPr>
        <w:t xml:space="preserve">What does the partnership spine mean for a co-design effort?</w:t>
      </w:r>
    </w:p>
    <w:p>
      <w:pPr>
        <w:pStyle w:val="ListParagraph"/>
        <w:numPr>
          <w:ilvl w:val="0"/>
          <w:numId w:val="2"/>
        </w:numPr>
        <w:spacing w:after="80" w:line="290"/>
      </w:pPr>
      <w:r>
        <w:rPr>
          <w:rFonts w:ascii="Aptos" w:cs="Aptos" w:eastAsia="Aptos" w:hAnsi="Aptos"/>
          <w:color w:val="181817"/>
          <w:sz w:val="22"/>
          <w:szCs w:val="22"/>
        </w:rPr>
        <w:t xml:space="preserve">Who should be involved in a community engagement plan?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or co-design effort</dc:title>
  <dc:creator>One DHS People, Access and Culture</dc:creator>
  <dc:description>You are planning community engagement and want the work to be respectful, useful, and grounded in what people actually need.</dc:description>
  <cp:lastModifiedBy>Un-named</cp:lastModifiedBy>
  <cp:revision>1</cp:revision>
  <dcterms:created xsi:type="dcterms:W3CDTF">2026-10-05T01:48:25.704Z</dcterms:created>
  <dcterms:modified xsi:type="dcterms:W3CDTF">2026-10-05T01:48:25.704Z</dcterms:modified>
</cp:coreProperties>
</file>

<file path=docProps/custom.xml><?xml version="1.0" encoding="utf-8"?>
<Properties xmlns="http://schemas.openxmlformats.org/officeDocument/2006/custom-properties" xmlns:vt="http://schemas.openxmlformats.org/officeDocument/2006/docPropsVTypes"/>
</file>