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LEARNING PATH · I'M CHANGING A FORM, NOTICE, OR POLICY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Policy, form, or notice change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You are preparing a policy, form, notice, or letter and want to make sure it is clear, accessible, and workable for the people who will use it.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Outcome: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By the end, you will have a clear record of the change, its effect on people, access needs, sources, follow-up responsibilities, and a review date. You can usually complete routine changes with these resources and ask the policy owner or your Equity Director about high-stakes questions or conflicting Official sources.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Situations that may fit this path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staff- or public-facing form, letter, or notice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policy or procedure text change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process change people must follow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Six steps to work through in order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Consider access and impact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Use Ask to work through plain-language, access, and process questions. If you need a statute or rule, the answer will be clear about whether an official source is available.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 a question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/ask?path=gp-2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Consider community context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(If relevant)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If the change may affect particular Minnesota communities more heavily, read the relevant brief for language, naming, and access considerations.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Explore Minnesota Communities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/minnesota-communities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Choose practical resources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Use the change-planning guide, plain-language checklist, language access checklist, and equity impact questions as needed.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Form, notice, or letter change guide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/library/ja-form-notice-change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Plain language and accessible documents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/library/ja-plain-language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Language access checklist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/library/ja-language-access-checklist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Draft your change and access notes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Record who will be affected, access needs, the effort the process asks of people, source labels, follow-up responsibilities, and a review date. Use the downloaded checklist to write your answers in a tool you normally use. This page does not save them.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Review your work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Confirm that every source is clearly labeled, access needs and process barriers are specific, and the next steps have responsible people and dates.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Talk it through with a consultant (optional)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A consultation can help when the stakes are high or Official sources conflict. Most day-to-day access questions can be worked through with these resources.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Request a consultation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/support/request?path=gp-2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What a useful result looks like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Still needs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general statement that equity was considered without any language, access, or process details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statute cited from memory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Ready to use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Specific notes about barriers and access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Sources are clearly labeled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Unanswered policy questions are taken to the policy owner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Privacy: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No individual accommodation case details; general access needs only. This page does not save your answers or progress. Notes saved through an earlier version may still be in this browser's site data; this page does not show or delete them.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Change impact notes and access checklist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Privacy: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This is a blank published checklist. If you complete a downloaded copy, store and share that file according to DHS requirements. Nothing you write in that file is saved back to this page.</w:t>
      </w:r>
    </w:p>
    <w:tbl>
      <w:tblPr>
        <w:tblW w:type="dxa" w:w="9720"/>
        <w:tblBorders>
          <w:top w:val="single" w:color="DDDDD9" w:sz="4"/>
          <w:left w:val="single" w:color="DDDDD9" w:sz="4"/>
          <w:bottom w:val="single" w:color="DDDDD9" w:sz="4"/>
          <w:right w:val="single" w:color="DDDDD9" w:sz="4"/>
          <w:insideH w:val="single" w:color="DDDDD9" w:sz="4"/>
          <w:insideV w:val="single" w:color="DDDDD9" w:sz="4"/>
        </w:tblBorders>
      </w:tblPr>
      <w:tblGrid>
        <w:gridCol w:w="2721"/>
        <w:gridCol w:w="6999"/>
      </w:tblGrid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Form, notice, or policy name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What is changing.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Who receives this and what they will need to do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Consider who may not be able to complete the steps and what happens then.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Language and access notes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Is this a vital document? Which languages are needed? Has it had a plain-language review? Are accessible formats and phone or in-person options available?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Time, steps, and other barriers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Consider deadlines, required documents, and return methods. Note anything that can be removed or simplified.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Sources and their authority labels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Label each source Official, Guidance, or Outside source; check before use. If you cannot find a source, note that you asked the policy owner.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Who reviewed this before release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Consider communications, language access, accessibility, and the policy owner.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What you chose not to assume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Note the assumptions you avoided about the people receiving this.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Who will address each barrier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Add one line for each barrier, including the action and the person responsible.</w:t>
            </w:r>
          </w:p>
        </w:tc>
      </w:tr>
    </w:tbl>
    <w:p>
      <w:pPr>
        <w:spacing w:after="120"/>
      </w:pP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Review your notes against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Every follow-up has a named owner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next review date is set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This is connected to your specific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Language, disability, and communication access were considered for this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You named who was involved and the role they had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You noted what you chose not to assume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Every source has an authority label and can be verified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Questions to bring to Ask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We are changing a renewal notice. What access and burden questions should we work through?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Where is the plain language checklist?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Two guidance documents disagree about a notice requirement. What should I do?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Policy, form, or notice change</dc:title>
  <dc:creator>One DSD People, Access and Culture</dc:creator>
  <dc:description>You are preparing a policy, form, notice, or letter and want to make sure it is clear, accessible, and workable for the people who will use it.</dc:description>
  <cp:lastModifiedBy>Un-named</cp:lastModifiedBy>
  <cp:revision>1</cp:revision>
  <dcterms:created xsi:type="dcterms:W3CDTF">2026-10-05T01:08:17.520Z</dcterms:created>
  <dcterms:modified xsi:type="dcterms:W3CDTF">2026-10-05T01:08:17.520Z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