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TOOL · REFERENCE AND EVIDENCE</w:t>
      </w:r>
    </w:p>
    <w:p>
      <w:pPr>
        <w:spacing w:after="120"/>
      </w:pPr>
      <w:r>
        <w:rPr>
          <w:rFonts w:ascii="Aptos" w:cs="Aptos" w:eastAsia="Aptos" w:hAnsi="Aptos"/>
          <w:b/>
          <w:bCs/>
          <w:color w:val="003865"/>
          <w:sz w:val="40"/>
          <w:szCs w:val="40"/>
        </w:rPr>
        <w:t xml:space="preserve">Tool card: GARE Racial Equity Toolkit</w:t>
      </w:r>
    </w:p>
    <w:p>
      <w:pPr>
        <w:spacing w:after="160"/>
      </w:pPr>
      <w:r>
        <w:rPr>
          <w:rFonts w:ascii="Aptos" w:cs="Aptos" w:eastAsia="Aptos" w:hAnsi="Aptos"/>
          <w:i/>
          <w:iCs/>
          <w:color w:val="353532"/>
          <w:sz w:val="23"/>
          <w:szCs w:val="23"/>
        </w:rPr>
        <w:t xml:space="preserve">The Government Alliance on Race and Equity describes racial equity tools as structured ways to integrate explicit consideration of racial equity into decisions, policies, practices, programs, and budgets. Public. Permitted use: cite, link, adapt the method with attribution.</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Outside source: </w:t>
      </w:r>
      <w:r>
        <w:rPr>
          <w:rFonts w:ascii="Aptos" w:cs="Aptos" w:eastAsia="Aptos" w:hAnsi="Aptos"/>
          <w:color w:val="181817"/>
          <w:sz w:val="22"/>
          <w:szCs w:val="22"/>
        </w:rPr>
        <w:t xml:space="preserve">A public source outside this program. Check the current source before relying on it. Source: Government Alliance on Race and Equity — https://www.racialequityalliance.org/</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Owner and publisher: Government Alliance on Race and Equity (GARE). Status: public resource; check reuse terms before reproducing text.</w:t>
      </w:r>
    </w:p>
    <w:p>
      <w:pPr>
        <w:spacing w:after="160" w:line="300"/>
      </w:pPr>
      <w:r>
        <w:rPr>
          <w:rFonts w:ascii="Aptos" w:cs="Aptos" w:eastAsia="Aptos" w:hAnsi="Aptos"/>
          <w:color w:val="181817"/>
          <w:sz w:val="22"/>
          <w:szCs w:val="22"/>
        </w:rPr>
        <w:t xml:space="preserve">Purpose: a step-by-step process for analyzing a proposal's racial equity impacts, engaging communities, developing strategies, and evaluating results.</w:t>
      </w:r>
    </w:p>
    <w:p>
      <w:pPr>
        <w:spacing w:after="160" w:line="300"/>
      </w:pPr>
      <w:r>
        <w:rPr>
          <w:rFonts w:ascii="Aptos" w:cs="Aptos" w:eastAsia="Aptos" w:hAnsi="Aptos"/>
          <w:color w:val="181817"/>
          <w:sz w:val="22"/>
          <w:szCs w:val="22"/>
        </w:rPr>
        <w:t xml:space="preserve">Evidence base: practice-based, used across many jurisdictions; the Minnesota Equity Analysis Toolkit is in this lineage.</w:t>
      </w:r>
    </w:p>
    <w:p>
      <w:pPr>
        <w:spacing w:after="160" w:line="300"/>
      </w:pPr>
      <w:r>
        <w:rPr>
          <w:rFonts w:ascii="Aptos" w:cs="Aptos" w:eastAsia="Aptos" w:hAnsi="Aptos"/>
          <w:color w:val="181817"/>
          <w:sz w:val="22"/>
          <w:szCs w:val="22"/>
        </w:rPr>
        <w:t xml:space="preserve">Limits: a process, not a data source. Quality depends on engagement and evidence. Race-explicit by design; combine with disability, language, and place analysis.</w:t>
      </w:r>
    </w:p>
    <w:p>
      <w:pPr>
        <w:spacing w:after="160" w:line="300"/>
      </w:pPr>
      <w:r>
        <w:rPr>
          <w:rFonts w:ascii="Aptos" w:cs="Aptos" w:eastAsia="Aptos" w:hAnsi="Aptos"/>
          <w:color w:val="181817"/>
          <w:sz w:val="22"/>
          <w:szCs w:val="22"/>
        </w:rPr>
        <w:t xml:space="preserve">Program use: cite and adapt the method through the equity review canvas and the equity analysis path.</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/library/ja-operational-equity-canvas</w:t>
      </w:r>
    </w:p>
    <w:p>
      <w:pPr>
        <w:pStyle w:val="ListParagraph"/>
        <w:numPr>
          <w:ilvl w:val="0"/>
          <w:numId w:val="2"/>
        </w:numPr>
        <w:spacing w:after="80" w:line="290"/>
      </w:pPr>
      <w:r>
        <w:rPr>
          <w:rFonts w:ascii="Aptos" w:cs="Aptos" w:eastAsia="Aptos" w:hAnsi="Aptos"/>
          <w:b/>
          <w:bCs/>
          <w:color w:val="181817"/>
          <w:sz w:val="22"/>
          <w:szCs w:val="22"/>
        </w:rPr>
        <w:t xml:space="preserve">Minnesota Equity Analysis Toolkit</w:t>
      </w:r>
      <w:r>
        <w:rPr>
          <w:rFonts w:ascii="Aptos" w:cs="Aptos" w:eastAsia="Aptos" w:hAnsi="Aptos"/>
          <w:color w:val="181817"/>
          <w:sz w:val="22"/>
          <w:szCs w:val="22"/>
        </w:rPr>
        <w:t xml:space="preserve"> — program page /library/ext-dhs-equity-toolkit</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Government Alliance on Race and Equity</w:t>
      </w:r>
      <w:r>
        <w:rPr>
          <w:rFonts w:ascii="Aptos" w:cs="Aptos" w:eastAsia="Aptos" w:hAnsi="Aptos"/>
          <w:color w:val="353532"/>
          <w:sz w:val="20"/>
          <w:szCs w:val="20"/>
        </w:rPr>
        <w:t xml:space="preserve"> — The original source for this resource.</w:t>
      </w:r>
      <w:r>
        <w:rPr>
          <w:rFonts w:ascii="Aptos" w:cs="Aptos" w:eastAsia="Aptos" w:hAnsi="Aptos"/>
          <w:color w:val="181817"/>
          <w:sz w:val="20"/>
          <w:szCs w:val="20"/>
        </w:rPr>
        <w:t xml:space="preserve"> </w:t>
      </w:r>
      <w:hyperlink w:history="1" r:id="rId43frtf5fzx9lpuswh975b">
        <w:r>
          <w:rPr>
            <w:rFonts w:ascii="Aptos" w:cs="Aptos" w:eastAsia="Aptos" w:hAnsi="Aptos"/>
            <w:color w:val="003865"/>
            <w:sz w:val="18"/>
            <w:szCs w:val="18"/>
            <w:u w:val="single"/>
          </w:rPr>
          <w:t xml:space="preserve">https://www.racialequityalliance.org/</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3frtf5fzx9lpuswh975b" Type="http://schemas.openxmlformats.org/officeDocument/2006/relationships/hyperlink" Target="https://www.racialequityalliance.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card: GARE Racial Equity Toolkit</dc:title>
  <dc:creator>One DSD People, Access and Culture</dc:creator>
  <dc:description>The Government Alliance on Race and Equity describes racial equity tools as structured ways to integrate explicit consideration of racial equity into decisions, policies, practices, programs, and budgets. Public. Permitted use: cite, link, adapt the method with attribution.</dc:description>
  <cp:lastModifiedBy>Un-named</cp:lastModifiedBy>
  <cp:revision>1</cp:revision>
  <dcterms:created xsi:type="dcterms:W3CDTF">2026-10-05T04:38:17.994Z</dcterms:created>
  <dcterms:modified xsi:type="dcterms:W3CDTF">2026-10-05T04:38:17.994Z</dcterms:modified>
</cp:coreProperties>
</file>

<file path=docProps/custom.xml><?xml version="1.0" encoding="utf-8"?>
<Properties xmlns="http://schemas.openxmlformats.org/officeDocument/2006/custom-properties" xmlns:vt="http://schemas.openxmlformats.org/officeDocument/2006/docPropsVTypes"/>
</file>