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QUICK ORIENTATION</w:t>
      </w:r>
    </w:p>
    <w:p>
      <w:pPr>
        <w:spacing w:after="120"/>
      </w:pPr>
      <w:r>
        <w:rPr>
          <w:rFonts w:ascii="Aptos" w:cs="Aptos" w:eastAsia="Aptos" w:hAnsi="Aptos"/>
          <w:b/>
          <w:bCs/>
          <w:color w:val="003865"/>
          <w:sz w:val="40"/>
          <w:szCs w:val="40"/>
        </w:rPr>
        <w:t xml:space="preserve">Six commitments for working in partnership</w:t>
      </w:r>
    </w:p>
    <w:p>
      <w:pPr>
        <w:spacing w:after="160"/>
      </w:pPr>
      <w:r>
        <w:rPr>
          <w:rFonts w:ascii="Aptos" w:cs="Aptos" w:eastAsia="Aptos" w:hAnsi="Aptos"/>
          <w:i/>
          <w:iCs/>
          <w:color w:val="353532"/>
          <w:sz w:val="23"/>
          <w:szCs w:val="23"/>
        </w:rPr>
        <w:t xml:space="preserve">Equity is everyone's work. Build on the people, standards, and relationships already in place. Center lived experience. Follow the evidence. Build trust over time. Work in partnership.</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These six commitments help you see whether equity is meaningfully built into a plan. If one is missing, return to that part of the work before moving ahead.</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Equity is everyone's work: the program or policy owner is responsible for building equity into the work, with support from equity staff.</w:t>
      </w:r>
    </w:p>
    <w:p>
      <w:pPr>
        <w:spacing w:after="160" w:line="300"/>
      </w:pPr>
      <w:r>
        <w:rPr>
          <w:rFonts w:ascii="Aptos" w:cs="Aptos" w:eastAsia="Aptos" w:hAnsi="Aptos"/>
          <w:color w:val="181817"/>
          <w:sz w:val="22"/>
          <w:szCs w:val="22"/>
        </w:rPr>
        <w:t xml:space="preserve">Build on what already exists: begin with the people, standards, and relationships already in place before creating something separate.</w:t>
      </w:r>
    </w:p>
    <w:p>
      <w:pPr>
        <w:spacing w:after="160" w:line="300"/>
      </w:pPr>
      <w:r>
        <w:rPr>
          <w:rFonts w:ascii="Aptos" w:cs="Aptos" w:eastAsia="Aptos" w:hAnsi="Aptos"/>
          <w:color w:val="181817"/>
          <w:sz w:val="22"/>
          <w:szCs w:val="22"/>
        </w:rPr>
        <w:t xml:space="preserve">Center lived experience: people affected by a decision should help shape it, with their role, authority, and compensation made clear.</w:t>
      </w:r>
    </w:p>
    <w:p>
      <w:pPr>
        <w:spacing w:after="160" w:line="300"/>
      </w:pPr>
      <w:r>
        <w:rPr>
          <w:rFonts w:ascii="Aptos" w:cs="Aptos" w:eastAsia="Aptos" w:hAnsi="Aptos"/>
          <w:color w:val="181817"/>
          <w:sz w:val="22"/>
          <w:szCs w:val="22"/>
        </w:rPr>
        <w:t xml:space="preserve">Follow the evidence: look at who receives services, who is denied or delayed, and who may be missing. Review patterns by community, language, disability, and place. Be clear about what the information shows and what it does not show.</w:t>
      </w:r>
    </w:p>
    <w:p>
      <w:pPr>
        <w:spacing w:after="160" w:line="300"/>
      </w:pPr>
      <w:r>
        <w:rPr>
          <w:rFonts w:ascii="Aptos" w:cs="Aptos" w:eastAsia="Aptos" w:hAnsi="Aptos"/>
          <w:color w:val="181817"/>
          <w:sz w:val="22"/>
          <w:szCs w:val="22"/>
        </w:rPr>
        <w:t xml:space="preserve">Move at the speed of trust: build relationships and explain how input was used before expanding the work. Rebuilding trust after a rushed launch takes time.</w:t>
      </w:r>
    </w:p>
    <w:p>
      <w:pPr>
        <w:spacing w:after="160" w:line="300"/>
      </w:pPr>
      <w:r>
        <w:rPr>
          <w:rFonts w:ascii="Aptos" w:cs="Aptos" w:eastAsia="Aptos" w:hAnsi="Aptos"/>
          <w:color w:val="181817"/>
          <w:sz w:val="22"/>
          <w:szCs w:val="22"/>
        </w:rPr>
        <w:t xml:space="preserve">Work in partnership: counties, providers, community organizations, Tribal Nations (government-to-government), and Equity Directors bring knowledge and authority to the work. Involve them as partners, not simply as names on a contact list.</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Open the equity and access checklist</w:t>
      </w:r>
      <w:r>
        <w:rPr>
          <w:rFonts w:ascii="Aptos" w:cs="Aptos" w:eastAsia="Aptos" w:hAnsi="Aptos"/>
          <w:color w:val="181817"/>
          <w:sz w:val="22"/>
          <w:szCs w:val="22"/>
        </w:rPr>
        <w:t xml:space="preserve"> — program page /library/ja-launch-embed-checklist</w:t>
      </w:r>
    </w:p>
    <w:p>
      <w:pPr>
        <w:pStyle w:val="ListParagraph"/>
        <w:numPr>
          <w:ilvl w:val="0"/>
          <w:numId w:val="2"/>
        </w:numPr>
        <w:spacing w:after="80" w:line="290"/>
      </w:pPr>
      <w:r>
        <w:rPr>
          <w:rFonts w:ascii="Aptos" w:cs="Aptos" w:eastAsia="Aptos" w:hAnsi="Aptos"/>
          <w:b/>
          <w:bCs/>
          <w:color w:val="181817"/>
          <w:sz w:val="22"/>
          <w:szCs w:val="22"/>
        </w:rPr>
        <w:t xml:space="preserve">Choose a learning path</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New program or service concept</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 commitments for working in partnership</dc:title>
  <dc:creator>One DHS People, Access and Culture</dc:creator>
  <dc:description>Equity is everyone's work. Build on the people, standards, and relationships already in place. Center lived experience. Follow the evidence. Build trust over time. Work in partnership.</dc:description>
  <cp:lastModifiedBy>Un-named</cp:lastModifiedBy>
  <cp:revision>1</cp:revision>
  <dcterms:created xsi:type="dcterms:W3CDTF">2026-10-05T04:49:00.899Z</dcterms:created>
  <dcterms:modified xsi:type="dcterms:W3CDTF">2026-10-05T04:49:00.899Z</dcterms:modified>
</cp:coreProperties>
</file>

<file path=docProps/custom.xml><?xml version="1.0" encoding="utf-8"?>
<Properties xmlns="http://schemas.openxmlformats.org/officeDocument/2006/custom-properties" xmlns:vt="http://schemas.openxmlformats.org/officeDocument/2006/docPropsVTypes"/>
</file>