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PRACTICE NOTE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Using community material as questions, not descriptions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A community brief or cultural guide is a starting point for respectful inquiry. It can help you ask better questions and plan access. It cannot tell you what any one person wants, believes, or needs.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Generalizations about literacy, oral traditions, health beliefs, or family roles become stereotypes the moment they are applied to a person. The safeguard is a habit: ask, then plan.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Read a brief for what to ask, not what to conclude. Turn every statement into a question you could ask the person or the community partner.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Notice the diversity inside every community. Immigration history, faith, language, disability, age, and class differ within a community as much as between communities.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Plan access from what people tell you. Language, interpreter, format, timing, setting, technology, and trusted messenger are decisions to make with people, not for them.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Say what you do not know. A brief that leaves a self-description pending is telling you to go ask.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Check the source. Community material needs authoritative sources and community review before it becomes a program fact. Material still in review is marked, and it is not a description of anyone.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Prepare for intercultural work without making assumptions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/library/pn-intercultural-method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Minnesota Communities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/minnesota-communities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Community engagement or co-design effort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community material as questions, not descriptions</dc:title>
  <dc:creator>One DHS People, Access and Culture</dc:creator>
  <dc:description>A community brief or cultural guide is a starting point for respectful inquiry. It can help you ask better questions and plan access. It cannot tell you what any one person wants, believes, or needs.</dc:description>
  <cp:lastModifiedBy>Un-named</cp:lastModifiedBy>
  <cp:revision>1</cp:revision>
  <dcterms:created xsi:type="dcterms:W3CDTF">2026-10-05T09:11:59.072Z</dcterms:created>
  <dcterms:modified xsi:type="dcterms:W3CDTF">2026-10-05T09:11:59.072Z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