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PRACTICE NOTE · DEEPER METHOD</w:t>
      </w:r>
    </w:p>
    <w:p>
      <w:pPr>
        <w:spacing w:after="120"/>
      </w:pPr>
      <w:r>
        <w:rPr>
          <w:rFonts w:ascii="Aptos" w:cs="Aptos" w:eastAsia="Aptos" w:hAnsi="Aptos"/>
          <w:b/>
          <w:bCs/>
          <w:color w:val="003865"/>
          <w:sz w:val="40"/>
          <w:szCs w:val="40"/>
        </w:rPr>
        <w:t xml:space="preserve">Accessible leadership pathways and sponsorship for staff with disabilities</w:t>
      </w:r>
    </w:p>
    <w:p>
      <w:pPr>
        <w:spacing w:after="160"/>
      </w:pPr>
      <w:r>
        <w:rPr>
          <w:rFonts w:ascii="Aptos" w:cs="Aptos" w:eastAsia="Aptos" w:hAnsi="Aptos"/>
          <w:i/>
          <w:iCs/>
          <w:color w:val="353532"/>
          <w:sz w:val="23"/>
          <w:szCs w:val="23"/>
        </w:rPr>
        <w:t xml:space="preserve">For staff with disabilities, advancement barriers are usually structural and often invisible to the people who run leadership pathways. This note adapts the engagement, analysis, and applied-practice sequence to that reality: hear from disabled staff without forcing disclosure, examine the pipeline stage by stage, and build sponsorship, transparent pathway maps, and accessible leadership programs by default.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Disclosure is a cost. Many staff will not identify as disabled to a supervisor or a program, so pathway design cannot depend on knowing who is disabled. It has to be accessible to everyone and honest about what leadership roles actually require.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Engagement without forced disclosure. Work through anonymous aggregate listening, disability employee resource groups, and trusted intermediaries, with small-group suppression in any reporting. Ask about the pathway, not the person: what does it take to be seen as ready for a lead role here, who explains it, and what happens when someone asks for an accommodation during a stretch assignment or interview.</w:t>
      </w:r>
    </w:p>
    <w:p>
      <w:pPr>
        <w:spacing w:after="160" w:line="300"/>
      </w:pPr>
      <w:r>
        <w:rPr>
          <w:rFonts w:ascii="Aptos" w:cs="Aptos" w:eastAsia="Aptos" w:hAnsi="Aptos"/>
          <w:color w:val="181817"/>
          <w:sz w:val="22"/>
          <w:szCs w:val="22"/>
        </w:rPr>
        <w:t xml:space="preserve">Close the loop publicly. Disabled staff in particular have watched accessibility promises go unfunded. Report what changed, what did not, and who owns the next step.</w:t>
      </w:r>
    </w:p>
    <w:p>
      <w:pPr>
        <w:spacing w:after="160" w:line="300"/>
      </w:pPr>
      <w:r>
        <w:rPr>
          <w:rFonts w:ascii="Aptos" w:cs="Aptos" w:eastAsia="Aptos" w:hAnsi="Aptos"/>
          <w:color w:val="181817"/>
          <w:sz w:val="22"/>
          <w:szCs w:val="22"/>
        </w:rPr>
        <w:t xml:space="preserve">Examine the pipeline stage by stage: nomination to leadership programs, selection for visible projects, acting assignments, interview formats, and promotion outcomes. Disability is often absent from disaggregated workforce data, so the first finding may be that the organization cannot see the pattern at all. Say so.</w:t>
      </w:r>
    </w:p>
    <w:p>
      <w:pPr>
        <w:spacing w:after="160" w:line="300"/>
      </w:pPr>
      <w:r>
        <w:rPr>
          <w:rFonts w:ascii="Aptos" w:cs="Aptos" w:eastAsia="Aptos" w:hAnsi="Aptos"/>
          <w:color w:val="181817"/>
          <w:sz w:val="22"/>
          <w:szCs w:val="22"/>
        </w:rPr>
        <w:t xml:space="preserve">Test the job-relatedness of leadership criteria. Executive presence, quick verbal response, travel, long hours, and always-on availability screen out many disabled staff and are rarely tied to what leaders actually do.</w:t>
      </w:r>
    </w:p>
    <w:p>
      <w:pPr>
        <w:spacing w:after="160" w:line="300"/>
      </w:pPr>
      <w:r>
        <w:rPr>
          <w:rFonts w:ascii="Aptos" w:cs="Aptos" w:eastAsia="Aptos" w:hAnsi="Aptos"/>
          <w:color w:val="181817"/>
          <w:sz w:val="22"/>
          <w:szCs w:val="22"/>
        </w:rPr>
        <w:t xml:space="preserve">Look for the accommodation cliff. Accommodations that exist for the current role are often lost during a rotation, a leadership cohort, or an interview process because nobody owns them across the transition. Name an owner for accommodations across every transition.</w:t>
      </w:r>
    </w:p>
    <w:p>
      <w:pPr>
        <w:spacing w:after="160" w:line="300"/>
      </w:pPr>
      <w:r>
        <w:rPr>
          <w:rFonts w:ascii="Aptos" w:cs="Aptos" w:eastAsia="Aptos" w:hAnsi="Aptos"/>
          <w:color w:val="181817"/>
          <w:sz w:val="22"/>
          <w:szCs w:val="22"/>
        </w:rPr>
        <w:t xml:space="preserve">Sponsorship, not just mentoring. Mentoring gives advice; sponsorship puts someone's name forward. Pair disabled staff who want it with sponsors who hold decision power, and track at the program level whether sponsorship leads to assignments.</w:t>
      </w:r>
    </w:p>
    <w:p>
      <w:pPr>
        <w:spacing w:after="160" w:line="300"/>
      </w:pPr>
      <w:r>
        <w:rPr>
          <w:rFonts w:ascii="Aptos" w:cs="Aptos" w:eastAsia="Aptos" w:hAnsi="Aptos"/>
          <w:color w:val="181817"/>
          <w:sz w:val="22"/>
          <w:szCs w:val="22"/>
        </w:rPr>
        <w:t xml:space="preserve">Reverse mentoring, where disabled staff advise leaders on what accessible leadership looks like, with compensation or recognized time and never as a standing expectation.</w:t>
      </w:r>
    </w:p>
    <w:p>
      <w:pPr>
        <w:spacing w:after="160" w:line="300"/>
      </w:pPr>
      <w:r>
        <w:rPr>
          <w:rFonts w:ascii="Aptos" w:cs="Aptos" w:eastAsia="Aptos" w:hAnsi="Aptos"/>
          <w:color w:val="181817"/>
          <w:sz w:val="22"/>
          <w:szCs w:val="22"/>
        </w:rPr>
        <w:t xml:space="preserve">Accessible leadership programs by default: materials in advance, captioning, flexible participation formats, no timed or drag-based activities, and accommodations carried across every cohort event. The State of Minnesota Emerging Leaders Institute run by Minnesota Management and Budget is the verified public program; DHS-level pathways should be reviewed against the same standard.</w:t>
      </w:r>
    </w:p>
    <w:p>
      <w:pPr>
        <w:spacing w:after="160" w:line="300"/>
      </w:pPr>
      <w:r>
        <w:rPr>
          <w:rFonts w:ascii="Aptos" w:cs="Aptos" w:eastAsia="Aptos" w:hAnsi="Aptos"/>
          <w:color w:val="181817"/>
          <w:sz w:val="22"/>
          <w:szCs w:val="22"/>
        </w:rPr>
        <w:t xml:space="preserve">Transparent pathway maps that say what a lead or supervisor role requires, which experiences count, and how to get them, so advancement does not depend on informal networks.</w:t>
      </w:r>
    </w:p>
    <w:p>
      <w:pPr>
        <w:spacing w:after="160" w:line="300"/>
      </w:pPr>
      <w:r>
        <w:rPr>
          <w:rFonts w:ascii="Aptos" w:cs="Aptos" w:eastAsia="Aptos" w:hAnsi="Aptos"/>
          <w:color w:val="181817"/>
          <w:sz w:val="22"/>
          <w:szCs w:val="22"/>
        </w:rPr>
        <w:t xml:space="preserve">Structured leadership interviews with rubrics tied to the work, accommodations offered without asking why, and panel preparation on disability bias.</w:t>
      </w:r>
    </w:p>
    <w:p>
      <w:pPr>
        <w:spacing w:after="160" w:line="300"/>
      </w:pPr>
      <w:r>
        <w:rPr>
          <w:rFonts w:ascii="Aptos" w:cs="Aptos" w:eastAsia="Aptos" w:hAnsi="Aptos"/>
          <w:color w:val="181817"/>
          <w:sz w:val="22"/>
          <w:szCs w:val="22"/>
        </w:rPr>
        <w:t xml:space="preserve">Stay conversations that ask about growth and access together, and exit patterns reviewed at an appropriate level.</w:t>
      </w:r>
    </w:p>
    <w:p>
      <w:pPr>
        <w:spacing w:after="160" w:line="300"/>
      </w:pPr>
      <w:r>
        <w:rPr>
          <w:rFonts w:ascii="Aptos" w:cs="Aptos" w:eastAsia="Aptos" w:hAnsi="Aptos"/>
          <w:color w:val="181817"/>
          <w:sz w:val="22"/>
          <w:szCs w:val="22"/>
        </w:rPr>
        <w:t xml:space="preserve">Boundaries this program keeps. No guessing about disability: the program never guesses who is disabled from behavior, accommodation history, or participation. No individual tracking: private learning and reflection stay private, and program-level measures use aggregates with suppression. Accommodation requests, complaints, and personnel decisions go to the confidential channels, never into this program.</w:t>
      </w:r>
    </w:p>
    <w:p>
      <w:pPr>
        <w:spacing w:after="160" w:line="300"/>
      </w:pPr>
      <w:r>
        <w:rPr>
          <w:rFonts w:ascii="Aptos" w:cs="Aptos" w:eastAsia="Aptos" w:hAnsi="Aptos"/>
          <w:color w:val="181817"/>
          <w:sz w:val="22"/>
          <w:szCs w:val="22"/>
        </w:rPr>
        <w:t xml:space="preserve">Who owns what. ADA and accommodation decisions belong to Human Resources and the accommodation process. Pathway design belongs to leadership and the equity practice. Take each to its owner.</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Build a leadership pathway or sponsorship plan (Practice path)</w:t>
      </w:r>
      <w:r>
        <w:rPr>
          <w:rFonts w:ascii="Aptos" w:cs="Aptos" w:eastAsia="Aptos" w:hAnsi="Aptos"/>
          <w:color w:val="181817"/>
          <w:sz w:val="22"/>
          <w:szCs w:val="22"/>
        </w:rPr>
        <w:t xml:space="preserve"> — program page /practice/gp-11</w:t>
      </w:r>
    </w:p>
    <w:p>
      <w:pPr>
        <w:pStyle w:val="ListParagraph"/>
        <w:numPr>
          <w:ilvl w:val="0"/>
          <w:numId w:val="2"/>
        </w:numPr>
        <w:spacing w:after="80" w:line="290"/>
      </w:pPr>
      <w:r>
        <w:rPr>
          <w:rFonts w:ascii="Aptos" w:cs="Aptos" w:eastAsia="Aptos" w:hAnsi="Aptos"/>
          <w:b/>
          <w:bCs/>
          <w:color w:val="181817"/>
          <w:sz w:val="22"/>
          <w:szCs w:val="22"/>
        </w:rPr>
        <w:t xml:space="preserve">Leadership criteria: are they job related?</w:t>
      </w:r>
      <w:r>
        <w:rPr>
          <w:rFonts w:ascii="Aptos" w:cs="Aptos" w:eastAsia="Aptos" w:hAnsi="Aptos"/>
          <w:color w:val="181817"/>
          <w:sz w:val="22"/>
          <w:szCs w:val="22"/>
        </w:rPr>
        <w:t xml:space="preserve"> — program page /library/ja-leadership-criteria-job-relatedness</w:t>
      </w:r>
    </w:p>
    <w:p>
      <w:pPr>
        <w:pStyle w:val="ListParagraph"/>
        <w:numPr>
          <w:ilvl w:val="0"/>
          <w:numId w:val="2"/>
        </w:numPr>
        <w:spacing w:after="80" w:line="290"/>
      </w:pPr>
      <w:r>
        <w:rPr>
          <w:rFonts w:ascii="Aptos" w:cs="Aptos" w:eastAsia="Aptos" w:hAnsi="Aptos"/>
          <w:b/>
          <w:bCs/>
          <w:color w:val="181817"/>
          <w:sz w:val="22"/>
          <w:szCs w:val="22"/>
        </w:rPr>
        <w:t xml:space="preserve">Accommodations across transitions</w:t>
      </w:r>
      <w:r>
        <w:rPr>
          <w:rFonts w:ascii="Aptos" w:cs="Aptos" w:eastAsia="Aptos" w:hAnsi="Aptos"/>
          <w:color w:val="181817"/>
          <w:sz w:val="22"/>
          <w:szCs w:val="22"/>
        </w:rPr>
        <w:t xml:space="preserve"> — program page /library/ja-accommodation-across-transitions</w:t>
      </w:r>
    </w:p>
    <w:p>
      <w:pPr>
        <w:pStyle w:val="ListParagraph"/>
        <w:numPr>
          <w:ilvl w:val="0"/>
          <w:numId w:val="2"/>
        </w:numPr>
        <w:spacing w:after="80" w:line="290"/>
      </w:pPr>
      <w:r>
        <w:rPr>
          <w:rFonts w:ascii="Aptos" w:cs="Aptos" w:eastAsia="Aptos" w:hAnsi="Aptos"/>
          <w:b/>
          <w:bCs/>
          <w:color w:val="181817"/>
          <w:sz w:val="22"/>
          <w:szCs w:val="22"/>
        </w:rPr>
        <w:t xml:space="preserve">Mentoring, sponsorship, and reverse mentoring</w:t>
      </w:r>
      <w:r>
        <w:rPr>
          <w:rFonts w:ascii="Aptos" w:cs="Aptos" w:eastAsia="Aptos" w:hAnsi="Aptos"/>
          <w:color w:val="181817"/>
          <w:sz w:val="22"/>
          <w:szCs w:val="22"/>
        </w:rPr>
        <w:t xml:space="preserve"> — program page /library/pn-mentoring-sponsorship</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Leadership pathway or sponsorship plan for staff with disabilities</w:t>
      </w:r>
    </w:p>
    <w:p>
      <w:pPr>
        <w:pStyle w:val="ListParagraph"/>
        <w:numPr>
          <w:ilvl w:val="0"/>
          <w:numId w:val="2"/>
        </w:numPr>
        <w:spacing w:after="80" w:line="290"/>
      </w:pPr>
      <w:r>
        <w:rPr>
          <w:rFonts w:ascii="Aptos" w:cs="Aptos" w:eastAsia="Aptos" w:hAnsi="Aptos"/>
          <w:color w:val="181817"/>
          <w:sz w:val="22"/>
          <w:szCs w:val="22"/>
        </w:rPr>
        <w:t xml:space="preserve">Workplace culture and team climate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leadership pathways and sponsorship for staff with disabilities</dc:title>
  <dc:creator>One DHS People, Access and Culture</dc:creator>
  <dc:description>For staff with disabilities, advancement barriers are usually structural and often invisible to the people who run leadership pathways. This note adapts the engagement, analysis, and applied-practice sequence to that reality: hear from disabled staff without forcing disclosure, examine the pipeline stage by stage, and build sponsorship, transparent pathway maps, and accessible leadership programs by default.</dc:description>
  <cp:lastModifiedBy>Un-named</cp:lastModifiedBy>
  <cp:revision>1</cp:revision>
  <dcterms:created xsi:type="dcterms:W3CDTF">2026-10-05T03:20:43.534Z</dcterms:created>
  <dcterms:modified xsi:type="dcterms:W3CDTF">2026-10-05T03:20:43.534Z</dcterms:modified>
</cp:coreProperties>
</file>

<file path=docProps/custom.xml><?xml version="1.0" encoding="utf-8"?>
<Properties xmlns="http://schemas.openxmlformats.org/officeDocument/2006/custom-properties" xmlns:vt="http://schemas.openxmlformats.org/officeDocument/2006/docPropsVTypes"/>
</file>