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Psychological safety and repair: practices, not personality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People speak when speaking is safe and useful. Safety is built through observable practices: how disagreement is handled, how mistakes are treated, who carries repair, and whether input changes anything.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DSD staff described limited psychological safety, performance pressure, and doubt that their input changes decisions. Those are practice problems with practice answers.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Make disagreement normal. Ask for the strongest case against your own idea before deciding. Thank the person who raised the concern, in front of others.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Separate unfamiliarity from intentional harm. Most harm at work comes from not knowing. Respond to unfamiliarity with information and a chance to change. Respond to intentional harm through the confidential channel.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Put repair on the person with more power. When a comment or decision lands badly, the leader names it and takes responsibility for repair. The person harmed should not have to explain, educate, or forgive on a schedule.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Show that input changed something. Every month, say what changed because someone spoke up. If nothing did, say why.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Watch the grind. Constant urgency silences people. Protect time for thinking and for saying no.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None of this replaces the confidential channel. Complaints, harassment, and discrimination go to Employee Culture, Human Resources, or the civil-rights channel.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basics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/library/lm-workplace-climate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Strengthen team climate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/practice/gp-4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Psychological safety and repair: practices, not personality</dc:title>
  <dc:creator>One DHS People, Access and Culture</dc:creator>
  <dc:description>People speak when speaking is safe and useful. Safety is built through observable practices: how disagreement is handled, how mistakes are treated, who carries repair, and whether input changes anything.</dc:description>
  <cp:lastModifiedBy>Un-named</cp:lastModifiedBy>
  <cp:revision>1</cp:revision>
  <dcterms:created xsi:type="dcterms:W3CDTF">2026-10-05T04:58:56.185Z</dcterms:created>
  <dcterms:modified xsi:type="dcterms:W3CDTF">2026-10-05T04:58:56.185Z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