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JOB AID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Reporting back: what we heard, what changed, what could not, and why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short, accessible record for the people who gave input: what they said in their words, what changed because of it, what could not change and why, and what happens next with a named contact.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DSD's engagement review found that people rarely learned what happened after they gave input. Closing that loop is the difference between engagement and extraction.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we heard. Summarize the main themes in plain language, using participants' own words where you have permission. Do not identify anyone.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changed. List the decisions or designs that changed because of the input, specifically.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could not change, and why. Be direct. If a rule, budget, or law prevented a change, say which one and who owns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happens next. Dates, the next chance to influence the work, and a named person people can contact.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to share it. Use the same languages, formats, and channels the engagement used. Send it to the partners who helped convene, and ask them to pass it 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it short. One page is usually right. Link to more if people want it.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Engagement that shares influence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/library/ja-engagement-influence-ladder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Community engagement or co-design effort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back: what we heard, what changed, what could not, and why</dc:title>
  <dc:creator>One DHS People, Access and Culture</dc:creator>
  <dc:description>A short, accessible record for the people who gave input: what they said in their words, what changed because of it, what could not change and why, and what happens next with a named contact.</dc:description>
  <cp:lastModifiedBy>Un-named</cp:lastModifiedBy>
  <cp:revision>1</cp:revision>
  <dcterms:created xsi:type="dcterms:W3CDTF">2026-10-05T10:37:06.266Z</dcterms:created>
  <dcterms:modified xsi:type="dcterms:W3CDTF">2026-10-05T10:37:06.266Z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