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EXTERNAL REFERENCE · REFERENCE AND EVIDENCE</w:t>
      </w:r>
    </w:p>
    <w:p>
      <w:pPr>
        <w:spacing w:after="120"/>
      </w:pPr>
      <w:r>
        <w:rPr>
          <w:rFonts w:ascii="Aptos" w:cs="Aptos" w:eastAsia="Aptos" w:hAnsi="Aptos"/>
          <w:b/>
          <w:bCs/>
          <w:color w:val="003865"/>
          <w:sz w:val="40"/>
          <w:szCs w:val="40"/>
        </w:rPr>
        <w:t xml:space="preserve">DHS Equity Analysis Toolkit</w:t>
      </w:r>
    </w:p>
    <w:p>
      <w:pPr>
        <w:spacing w:after="160"/>
      </w:pPr>
      <w:r>
        <w:rPr>
          <w:rFonts w:ascii="Aptos" w:cs="Aptos" w:eastAsia="Aptos" w:hAnsi="Aptos"/>
          <w:i/>
          <w:iCs/>
          <w:color w:val="353532"/>
          <w:sz w:val="23"/>
          <w:szCs w:val="23"/>
        </w:rPr>
        <w:t xml:space="preserve">The DHS Equity Analysis Toolkit helps staff consider who is affected, what evidence is available, and which barriers and alternatives matter. It also addresses access, responsibility, and review. Use the current version available through DHS.</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Outside source: </w:t>
      </w:r>
      <w:r>
        <w:rPr>
          <w:rFonts w:ascii="Aptos" w:cs="Aptos" w:eastAsia="Aptos" w:hAnsi="Aptos"/>
          <w:color w:val="181817"/>
          <w:sz w:val="22"/>
          <w:szCs w:val="22"/>
        </w:rPr>
        <w:t xml:space="preserve">A public source outside this program. Check the current source before relying on it. The original lives on the DHS intranet; open it there before relying on it.</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The checklist and impact questions in this program can help you prepare, but they do not replace the DHS Equity Analysis Toolkit. Confirm the current toolkit and any required process with the appropriate DHS contact.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Equity and access checklist for new work</w:t>
      </w:r>
      <w:r>
        <w:rPr>
          <w:rFonts w:ascii="Aptos" w:cs="Aptos" w:eastAsia="Aptos" w:hAnsi="Aptos"/>
          <w:color w:val="181817"/>
          <w:sz w:val="22"/>
          <w:szCs w:val="22"/>
        </w:rPr>
        <w:t xml:space="preserve"> — program page /library/ja-launch-embed-checklist</w:t>
      </w:r>
    </w:p>
    <w:p>
      <w:pPr>
        <w:pStyle w:val="ListParagraph"/>
        <w:numPr>
          <w:ilvl w:val="0"/>
          <w:numId w:val="2"/>
        </w:numPr>
        <w:spacing w:after="80" w:line="290"/>
      </w:pPr>
      <w:r>
        <w:rPr>
          <w:rFonts w:ascii="Aptos" w:cs="Aptos" w:eastAsia="Aptos" w:hAnsi="Aptos"/>
          <w:b/>
          <w:bCs/>
          <w:color w:val="181817"/>
          <w:sz w:val="22"/>
          <w:szCs w:val="22"/>
        </w:rPr>
        <w:t xml:space="preserve">Equity impact questions</w:t>
      </w:r>
      <w:r>
        <w:rPr>
          <w:rFonts w:ascii="Aptos" w:cs="Aptos" w:eastAsia="Aptos" w:hAnsi="Aptos"/>
          <w:color w:val="181817"/>
          <w:sz w:val="22"/>
          <w:szCs w:val="22"/>
        </w:rPr>
        <w:t xml:space="preserve"> — program page /library/ja-equity-impact-questions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Equity Analysis Toolkit</dc:title>
  <dc:creator>One DSD People, Access and Culture</dc:creator>
  <dc:description>The DHS Equity Analysis Toolkit helps staff consider who is affected, what evidence is available, and which barriers and alternatives matter. It also addresses access, responsibility, and review. Use the current version available through DHS.</dc:description>
  <cp:lastModifiedBy>Un-named</cp:lastModifiedBy>
  <cp:revision>1</cp:revision>
  <dcterms:created xsi:type="dcterms:W3CDTF">2026-10-05T02:32:09.368Z</dcterms:created>
  <dcterms:modified xsi:type="dcterms:W3CDTF">2026-10-05T02:32:09.368Z</dcterms:modified>
</cp:coreProperties>
</file>

<file path=docProps/custom.xml><?xml version="1.0" encoding="utf-8"?>
<Properties xmlns="http://schemas.openxmlformats.org/officeDocument/2006/custom-properties" xmlns:vt="http://schemas.openxmlformats.org/officeDocument/2006/docPropsVTypes"/>
</file>