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ADA Title II (state and local government services)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Title II of the Americans with Disabilities Act covers state and local government services, including effective communication and web accessibility rules. Verify the current rule and dates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Justice — https://www.ada.gov/law-and-regs/regulations/title-ii-2010-regulations/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does not interpret the ADA. For a specific obligation, contact the appropriate accessibility coordinator or legal counsel.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 or session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/library/ja-access-checks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Justice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ww30tsoxwqmzbbubfdyys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https://www.ada.gov/law-and-regs/regulations/title-ii-2010-regulations/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30tsoxwqmzbbubfdyys" Type="http://schemas.openxmlformats.org/officeDocument/2006/relationships/hyperlink" Target="https://www.ada.gov/law-and-regs/regulations/title-ii-2010-regulation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 Title II (state and local government services)</dc:title>
  <dc:creator>One DSD People, Access and Culture</dc:creator>
  <dc:description>Title II of the Americans with Disabilities Act covers state and local government services, including effective communication and web accessibility rules. Verify the current rule and dates at the source.</dc:description>
  <cp:lastModifiedBy>Un-named</cp:lastModifiedBy>
  <cp:revision>1</cp:revision>
  <dcterms:created xsi:type="dcterms:W3CDTF">2026-10-05T08:47:50.601Z</dcterms:created>
  <dcterms:modified xsi:type="dcterms:W3CDTF">2026-10-05T08:47:50.601Z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