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ptos" w:cs="Aptos" w:eastAsia="Aptos" w:hAnsi="Aptos"/>
          <w:b/>
          <w:bCs/>
          <w:color w:val="353532"/>
          <w:spacing w:val="20"/>
          <w:sz w:val="17"/>
          <w:szCs w:val="17"/>
        </w:rPr>
        <w:t xml:space="preserve">ONE DHS PEOPLE, ACCESS AND CULTURE · COMMUNITY ENGAGEMENT</w:t>
      </w:r>
    </w:p>
    <w:p>
      <w:pPr>
        <w:spacing w:after="120"/>
      </w:pPr>
      <w:r>
        <w:rPr>
          <w:rFonts w:ascii="Aptos" w:cs="Aptos" w:eastAsia="Aptos" w:hAnsi="Aptos"/>
          <w:b/>
          <w:bCs/>
          <w:color w:val="003865"/>
          <w:sz w:val="40"/>
          <w:szCs w:val="40"/>
        </w:rPr>
        <w:t xml:space="preserve">Community engagement: from input to action</w:t>
      </w:r>
    </w:p>
    <w:p>
      <w:pPr>
        <w:spacing w:after="160"/>
      </w:pPr>
      <w:r>
        <w:rPr>
          <w:rFonts w:ascii="Aptos" w:cs="Aptos" w:eastAsia="Aptos" w:hAnsi="Aptos"/>
          <w:i/>
          <w:iCs/>
          <w:color w:val="353532"/>
          <w:sz w:val="23"/>
          <w:szCs w:val="23"/>
        </w:rPr>
        <w:t xml:space="preserve">Connect a decision with the people it affects, the knowledge they bring, and the changes that follow.</w:t>
      </w:r>
    </w:p>
    <w:p>
      <w:pPr>
        <w:pBdr>
          <w:bottom w:val="single" w:color="003865" w:sz="12" w:space="12"/>
        </w:pBdr>
        <w:spacing w:after="100"/>
      </w:pP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Program-authored practice informed by the ADSA Outreach and Engagement Guide, April 2026. The original guidance remains unchanged. Follow the applicable agency processes for official work.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What can change because people participate?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An invitation is a beginning. Meaningful engagement also makes room for influence, disagreement, and a response from the people responsible for the decision.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What decision is still open, who can make it, and what can participants influence?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Whose experience is missing, including people who could not access the service or take part previously?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Which existing relationships could help, and who should participate directly rather than be represented by an organization?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What language, communication, transportation, technology, timing, or rural-access barriers need attention?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What compensation and participation supports can be offered through approved arrangements, and who will confirm them?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How will participants review the way their experiences are represented and choose how their contributions may be used?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What changed, what did not change, why, and when will participants hear back?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A fictional employment-planning example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A team is preparing an employment-support learning session. It first proposes a weekday online meeting and an online interest form. Community members explain that the timing conflicts with work, some need communication support, and others have unreliable internet access.</w:t>
      </w:r>
    </w:p>
    <w:p>
      <w:pPr>
        <w:pStyle w:val="Heading3"/>
        <w:keepNext/>
        <w:spacing w:after="120" w:before="200"/>
      </w:pPr>
      <w:r>
        <w:rPr>
          <w:rFonts w:ascii="Aptos" w:cs="Aptos" w:eastAsia="Aptos" w:hAnsi="Aptos"/>
          <w:b/>
          <w:bCs/>
          <w:color w:val="003865"/>
          <w:sz w:val="24"/>
          <w:szCs w:val="24"/>
        </w:rPr>
        <w:t xml:space="preserve">After this example, you can</w:t>
      </w:r>
    </w:p>
    <w:p>
      <w:pPr>
        <w:pStyle w:val="ListParagraph"/>
        <w:numPr>
          <w:ilvl w:val="0"/>
          <w:numId w:val="3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Distinguish an activity count from evidence of a result.</w:t>
      </w:r>
    </w:p>
    <w:p>
      <w:pPr>
        <w:pStyle w:val="ListParagraph"/>
        <w:numPr>
          <w:ilvl w:val="0"/>
          <w:numId w:val="3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Identify a choice that participants can influence.</w:t>
      </w:r>
    </w:p>
    <w:p>
      <w:pPr>
        <w:pStyle w:val="ListParagraph"/>
        <w:numPr>
          <w:ilvl w:val="0"/>
          <w:numId w:val="3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Connect a participation barrier with a practical adjustment.</w:t>
      </w:r>
    </w:p>
    <w:p>
      <w:pPr>
        <w:pStyle w:val="ListParagraph"/>
        <w:numPr>
          <w:ilvl w:val="0"/>
          <w:numId w:val="3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Explain how participants will hear back and correct the account.</w:t>
      </w:r>
    </w:p>
    <w:p>
      <w:pPr>
        <w:pStyle w:val="Heading3"/>
        <w:keepNext/>
        <w:spacing w:after="120" w:before="200"/>
      </w:pPr>
      <w:r>
        <w:rPr>
          <w:rFonts w:ascii="Aptos" w:cs="Aptos" w:eastAsia="Aptos" w:hAnsi="Aptos"/>
          <w:b/>
          <w:bCs/>
          <w:color w:val="003865"/>
          <w:sz w:val="24"/>
          <w:szCs w:val="24"/>
        </w:rPr>
        <w:t xml:space="preserve">Activity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The team holds two conversations. Attendance describes participation, but does not establish that the approach was effective.</w:t>
      </w:r>
    </w:p>
    <w:p>
      <w:pPr>
        <w:pStyle w:val="Heading3"/>
        <w:keepNext/>
        <w:spacing w:after="120" w:before="200"/>
      </w:pPr>
      <w:r>
        <w:rPr>
          <w:rFonts w:ascii="Aptos" w:cs="Aptos" w:eastAsia="Aptos" w:hAnsi="Aptos"/>
          <w:b/>
          <w:bCs/>
          <w:color w:val="003865"/>
          <w:sz w:val="24"/>
          <w:szCs w:val="24"/>
        </w:rPr>
        <w:t xml:space="preserve">Influence on the decision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The team revises the plan to offer a phone response option, different meeting times, and a way to request communication support. It records which suggestions it could act on and which need another decision-maker.</w:t>
      </w:r>
    </w:p>
    <w:p>
      <w:pPr>
        <w:pStyle w:val="Heading3"/>
        <w:keepNext/>
        <w:spacing w:after="120" w:before="200"/>
      </w:pPr>
      <w:r>
        <w:rPr>
          <w:rFonts w:ascii="Aptos" w:cs="Aptos" w:eastAsia="Aptos" w:hAnsi="Aptos"/>
          <w:b/>
          <w:bCs/>
          <w:color w:val="003865"/>
          <w:sz w:val="24"/>
          <w:szCs w:val="24"/>
        </w:rPr>
        <w:t xml:space="preserve">Results to examine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After the revised session, the team asks whether people could participate in their preferred way and whether the information helped them identify a next step. It checks whose experience is still missing. It does not infer improved employment outcomes from attendance.</w:t>
      </w:r>
    </w:p>
    <w:p>
      <w:pPr>
        <w:pStyle w:val="Heading3"/>
        <w:keepNext/>
        <w:spacing w:after="120" w:before="200"/>
      </w:pPr>
      <w:r>
        <w:rPr>
          <w:rFonts w:ascii="Aptos" w:cs="Aptos" w:eastAsia="Aptos" w:hAnsi="Aptos"/>
          <w:b/>
          <w:bCs/>
          <w:color w:val="003865"/>
          <w:sz w:val="24"/>
          <w:szCs w:val="24"/>
        </w:rPr>
        <w:t xml:space="preserve">Report back and revisit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Participants receive an accessible summary of what changed, what remains unresolved, and who will follow up. They can correct the summary and explain whether it reflects their contributions.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Relationships and resources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These are starting points, not an exhaustive partner list. E1MN documents a state agency partnership. Other listings identify relevant resources, not a claim of a formal DSD agreement. Confirm current services, geographic reach, and arrangements before planning together.</w:t>
      </w:r>
    </w:p>
    <w:p>
      <w:pPr>
        <w:pStyle w:val="Heading3"/>
        <w:keepNext/>
        <w:spacing w:after="120" w:before="200"/>
      </w:pPr>
      <w:r>
        <w:rPr>
          <w:rFonts w:ascii="Aptos" w:cs="Aptos" w:eastAsia="Aptos" w:hAnsi="Aptos"/>
          <w:b/>
          <w:bCs/>
          <w:color w:val="003865"/>
          <w:sz w:val="24"/>
          <w:szCs w:val="24"/>
        </w:rPr>
        <w:t xml:space="preserve">Employment and transitions</w:t>
      </w:r>
    </w:p>
    <w:p>
      <w:pPr>
        <w:pStyle w:val="ListParagraph"/>
        <w:numPr>
          <w:ilvl w:val="0"/>
          <w:numId w:val="3"/>
        </w:numPr>
        <w:spacing w:after="80" w:line="29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E1MN: DHS, DEED, and Education employment alignment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https://www.dhs.state.mn.us/main/idcplg?IdcService=GET_DYNAMIC_CONVERSION&amp;RevisionSelectionMethod=LatestReleased&amp;dDocName=mndhs-074455</w:t>
      </w:r>
    </w:p>
    <w:p>
      <w:pPr>
        <w:pStyle w:val="ListParagraph"/>
        <w:numPr>
          <w:ilvl w:val="0"/>
          <w:numId w:val="3"/>
        </w:numPr>
        <w:spacing w:after="80" w:line="29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Department of Labor and Industry: disability employment information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https://www.dli.mn.gov/business/employment-practices/worker-disability-employment-information</w:t>
      </w:r>
    </w:p>
    <w:p>
      <w:pPr>
        <w:pStyle w:val="ListParagraph"/>
        <w:numPr>
          <w:ilvl w:val="0"/>
          <w:numId w:val="3"/>
        </w:numPr>
        <w:spacing w:after="80" w:line="29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PACER: transition planning for families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https://media.pacer.org/php/php-c157.pdf</w:t>
      </w:r>
    </w:p>
    <w:p>
      <w:pPr>
        <w:pStyle w:val="ListParagraph"/>
        <w:numPr>
          <w:ilvl w:val="0"/>
          <w:numId w:val="3"/>
        </w:numPr>
        <w:spacing w:after="80" w:line="29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University of Minnesota: employment-provider technical assistance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https://mti.ici.umn.edu/providers</w:t>
      </w:r>
    </w:p>
    <w:p>
      <w:pPr>
        <w:pStyle w:val="Heading3"/>
        <w:keepNext/>
        <w:spacing w:after="120" w:before="200"/>
      </w:pPr>
      <w:r>
        <w:rPr>
          <w:rFonts w:ascii="Aptos" w:cs="Aptos" w:eastAsia="Aptos" w:hAnsi="Aptos"/>
          <w:b/>
          <w:bCs/>
          <w:color w:val="003865"/>
          <w:sz w:val="24"/>
          <w:szCs w:val="24"/>
        </w:rPr>
        <w:t xml:space="preserve">Housing and community living</w:t>
      </w:r>
    </w:p>
    <w:p>
      <w:pPr>
        <w:pStyle w:val="ListParagraph"/>
        <w:numPr>
          <w:ilvl w:val="0"/>
          <w:numId w:val="3"/>
        </w:numPr>
        <w:spacing w:after="80" w:line="29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DEED: regional Centers for Independent Living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https://mn.gov/deed/job-seekers/disabilities/independent/</w:t>
      </w:r>
    </w:p>
    <w:p>
      <w:pPr>
        <w:pStyle w:val="ListParagraph"/>
        <w:numPr>
          <w:ilvl w:val="0"/>
          <w:numId w:val="3"/>
        </w:numPr>
        <w:spacing w:after="80" w:line="29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PACER: navigating housing and services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https://media.pacer.org/php/php-a83.pdf</w:t>
      </w:r>
    </w:p>
    <w:p>
      <w:pPr>
        <w:pStyle w:val="ListParagraph"/>
        <w:numPr>
          <w:ilvl w:val="0"/>
          <w:numId w:val="3"/>
        </w:numPr>
        <w:spacing w:after="80" w:line="29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University of Minnesota: community-living research and training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https://ici.umn.edu/welcome/centers</w:t>
      </w:r>
    </w:p>
    <w:p>
      <w:pPr>
        <w:pStyle w:val="Heading3"/>
        <w:keepNext/>
        <w:spacing w:after="120" w:before="200"/>
      </w:pPr>
      <w:r>
        <w:rPr>
          <w:rFonts w:ascii="Aptos" w:cs="Aptos" w:eastAsia="Aptos" w:hAnsi="Aptos"/>
          <w:b/>
          <w:bCs/>
          <w:color w:val="003865"/>
          <w:sz w:val="24"/>
          <w:szCs w:val="24"/>
        </w:rPr>
        <w:t xml:space="preserve">Community knowledge and participation</w:t>
      </w:r>
    </w:p>
    <w:p>
      <w:pPr>
        <w:pStyle w:val="ListParagraph"/>
        <w:numPr>
          <w:ilvl w:val="0"/>
          <w:numId w:val="3"/>
        </w:numPr>
        <w:spacing w:after="80" w:line="29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Multicultural Autism Action Network: education and training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https://www.maanmn.org/training</w:t>
      </w:r>
    </w:p>
    <w:p>
      <w:pPr>
        <w:pStyle w:val="ListParagraph"/>
        <w:numPr>
          <w:ilvl w:val="0"/>
          <w:numId w:val="3"/>
        </w:numPr>
        <w:spacing w:after="80" w:line="29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Governor’s Council on Developmental Disabilities: advocacy and learning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https://www.mn.gov/mnddc/index.html</w:t>
      </w:r>
    </w:p>
    <w:p>
      <w:pPr>
        <w:pStyle w:val="ListParagraph"/>
        <w:numPr>
          <w:ilvl w:val="0"/>
          <w:numId w:val="3"/>
        </w:numPr>
        <w:spacing w:after="80" w:line="29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Community briefs: preparation for asking better questions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program page /minnesota-communities</w:t>
      </w:r>
    </w:p>
    <w:p>
      <w:pPr>
        <w:pStyle w:val="Heading3"/>
        <w:keepNext/>
        <w:spacing w:after="120" w:before="200"/>
      </w:pPr>
      <w:r>
        <w:rPr>
          <w:rFonts w:ascii="Aptos" w:cs="Aptos" w:eastAsia="Aptos" w:hAnsi="Aptos"/>
          <w:b/>
          <w:bCs/>
          <w:color w:val="003865"/>
          <w:sz w:val="24"/>
          <w:szCs w:val="24"/>
        </w:rPr>
        <w:t xml:space="preserve">Data and research</w:t>
      </w:r>
    </w:p>
    <w:p>
      <w:pPr>
        <w:pStyle w:val="ListParagraph"/>
        <w:numPr>
          <w:ilvl w:val="0"/>
          <w:numId w:val="3"/>
        </w:numPr>
        <w:spacing w:after="80" w:line="29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DHS: LTSS demographic dashboard and accessible spreadsheets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https://mn.gov/dhs/partners-and-providers/news-initiatives-reports-workgroups/long-term-services-and-supports/public-planning-performance-reporting/performance-reports/demographic-dashboard/</w:t>
      </w:r>
    </w:p>
    <w:p>
      <w:pPr>
        <w:pStyle w:val="ListParagraph"/>
        <w:numPr>
          <w:ilvl w:val="0"/>
          <w:numId w:val="3"/>
        </w:numPr>
        <w:spacing w:after="80" w:line="29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DHS: LTSS performance measures and accessible spreadsheets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https://mn.gov/dhs/partners-and-providers/news-initiatives-reports-workgroups/long-term-services-and-supports/public-planning-performance-reporting/performance-reports/performance-measures-dashboard/</w:t>
      </w:r>
    </w:p>
    <w:p>
      <w:pPr>
        <w:pStyle w:val="ListParagraph"/>
        <w:numPr>
          <w:ilvl w:val="0"/>
          <w:numId w:val="3"/>
        </w:numPr>
        <w:spacing w:after="80" w:line="29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Minnesota Department of Health: health-equity data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https://data.web.health.state.mn.us/en/web/mndata/equity</w:t>
      </w:r>
    </w:p>
    <w:p>
      <w:pPr>
        <w:pStyle w:val="ListParagraph"/>
        <w:numPr>
          <w:ilvl w:val="0"/>
          <w:numId w:val="3"/>
        </w:numPr>
        <w:spacing w:after="80" w:line="29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Wilder Research: research publications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https://www.wilder.org/wilder_research/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Check the reporting period, population, definitions, and missing data before drawing conclusions. Group differences invite investigation; a dashboard alone does not establish their cause. Use the accessible alternatives offered by the source. Public dashboards are not the internal equity-submission tracker.</w:t>
      </w:r>
    </w:p>
    <w:p>
      <w:pPr>
        <w:shd w:fill="F3F9EA" w:color="auto" w:val="clear"/>
        <w:spacing w:after="200" w:before="120" w:line="300"/>
        <w:ind w:left="200" w:right="200"/>
      </w:pPr>
      <w:r>
        <w:rPr>
          <w:rFonts w:ascii="Aptos" w:cs="Aptos" w:eastAsia="Aptos" w:hAnsi="Aptos"/>
          <w:b/>
          <w:bCs/>
          <w:color w:val="2E6B12"/>
          <w:sz w:val="22"/>
          <w:szCs w:val="22"/>
        </w:rPr>
        <w:t xml:space="preserve">Tribal consultation: 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Engagement with community organizations does not replace government-to-government Tribal consultation. Seek the appropriate guidance when a decision may have Tribal implications.</w:t>
      </w:r>
    </w:p>
    <w:sectPr>
      <w:footerReference w:type="default" r:id="rId7"/>
      <w:pgSz w:w="12240" w:h="15840" w:orient="portrait"/>
      <w:pgMar w:top="1080" w:right="1260" w:bottom="1080" w:left="12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ptos" w:cs="Aptos" w:eastAsia="Aptos" w:hAnsi="Aptos"/>
        <w:color w:val="353532"/>
        <w:sz w:val="16"/>
        <w:szCs w:val="16"/>
      </w:rPr>
      <w:t xml:space="preserve">One DHS People, Access and Culture   ·   Page </w:t>
    </w:r>
    <w:r>
      <w:rPr>
        <w:rFonts w:ascii="Aptos" w:cs="Aptos" w:eastAsia="Aptos" w:hAnsi="Aptos"/>
        <w:color w:val="353532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181817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Community engagement: from input to action</dc:title>
  <dc:creator>One DHS People, Access and Culture</dc:creator>
  <dc:description>Connect a decision with the people it affects, the knowledge they bring, and the changes that follow.</dc:description>
  <cp:lastModifiedBy>Un-named</cp:lastModifiedBy>
  <cp:revision>1</cp:revision>
  <dcterms:created xsi:type="dcterms:W3CDTF">2026-10-05T07:46:07.074Z</dcterms:created>
  <dcterms:modified xsi:type="dcterms:W3CDTF">2026-10-05T07:46:07.074Z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