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Nigerian Minnesota</w:t>
      </w:r>
    </w:p>
    <w:p>
      <w:pPr>
        <w:spacing w:after="160"/>
      </w:pPr>
      <w:r>
        <w:rPr>
          <w:rFonts w:ascii="Aptos" w:cs="Aptos" w:eastAsia="Aptos" w:hAnsi="Aptos"/>
          <w:i/>
          <w:iCs/>
          <w:color w:val="353532"/>
          <w:sz w:val="23"/>
          <w:szCs w:val="23"/>
        </w:rPr>
        <w:t xml:space="preserve">This brief is about Nigerian Minnesota as a state-name community of many peoples. Yoruba, Igbo, Hausa, Edo, Ijaw, Tiv, Ibibio, Fulani, and others are not one file. Book the language this household names. English is official. Nigerian Pidgin is a language, not broken English. Yoruba is not Igbo. Hausa is not Yoruba. A “Nigerian interpreter” is not a language. An “African interpreter” is a closed door.</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Nigeria is a state of many nations. Yoruba peoplehood in the southwest, Igbo peoplehood in the southeast, Hausa-Fulani in the north, Edo, Ijaw, Tiv, Ibibio, and hundreds of others. There is no single Nigerian ethnicity. Ask which people they are. Do not lecture taxonomy they did not ask for.</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English as official language is colonial history. Independence in 1960. Biafra — 1967–1970 — is foundational literacy for many Igbo households. It is not a speech you give the family. It is not every Nigerian’s story. Do not referee it in a waiver meeting.</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What people brought: ethnic language, English, Pidgin, church and mosque, titles, kin obligation, a memory of colony and of a civil war some will name and some will not. What they met in Minnesota: an English form, one “African” checkbox, one “Black” mash, and often Somali because the building already has that page.</w:t>
      </w:r>
    </w:p>
    <w:p>
      <w:pPr>
        <w:spacing w:after="160" w:line="300"/>
      </w:pPr>
      <w:r>
        <w:rPr>
          <w:rFonts w:ascii="Aptos" w:cs="Aptos" w:eastAsia="Aptos" w:hAnsi="Aptos"/>
          <w:color w:val="181817"/>
          <w:sz w:val="22"/>
          <w:szCs w:val="22"/>
        </w:rPr>
        <w:t xml:space="preserve">Do not start with a Nollywood or jollof tourism sentence. Origins did not begin in Minneapolis.</w:t>
      </w:r>
    </w:p>
    <w:p>
      <w:pPr>
        <w:pStyle w:val="Heading3"/>
        <w:keepNext/>
        <w:spacing w:after="120" w:before="200"/>
      </w:pPr>
      <w:r>
        <w:rPr>
          <w:rFonts w:ascii="Aptos" w:cs="Aptos" w:eastAsia="Aptos" w:hAnsi="Aptos"/>
          <w:b/>
          <w:bCs/>
          <w:color w:val="003865"/>
          <w:sz w:val="24"/>
          <w:szCs w:val="24"/>
        </w:rPr>
        <w:t xml:space="preserve">The Geography of the Nigerian World</w:t>
      </w:r>
    </w:p>
    <w:p>
      <w:pPr>
        <w:spacing w:after="160" w:line="300"/>
      </w:pPr>
      <w:r>
        <w:rPr>
          <w:rFonts w:ascii="Aptos" w:cs="Aptos" w:eastAsia="Aptos" w:hAnsi="Aptos"/>
          <w:color w:val="181817"/>
          <w:sz w:val="22"/>
          <w:szCs w:val="22"/>
        </w:rPr>
        <w:t xml:space="preserve">Homeland is not one map. Lagos and the Yoruba southwest, Igbo southeast, Hausa-Fulani north, Niger Delta, Middle Belt. Abuja is not the whole. A person may name Ibadan, Enugu, Kano, Benin City, Port Harcourt, a village — not the capital. Do not referee regional politics in a waiver meeting. Listen if they name a place.</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diaspora is global and large: Texas, New York, Maryland and D.C., Georgia, the UK, the Gulf. Minnesota is a real community, not the U.S. capital of it. Secondary migration, church networks, school, and professional work pulled people here.</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Compass 87.6 percent Twin Cities, 12.4 percent Greater Minnesota. Do not assume Minneapolis. Do not assume Cedar-Riverside. Do not assume the person in front of you has been to Nigeria. Inner-ring suburbs and Greater Minnesota towns with hospitals and housing are still this people.</w:t>
      </w:r>
    </w:p>
    <w:p>
      <w:pPr>
        <w:pStyle w:val="Heading3"/>
        <w:keepNext/>
        <w:spacing w:after="120" w:before="200"/>
      </w:pPr>
      <w:r>
        <w:rPr>
          <w:rFonts w:ascii="Aptos" w:cs="Aptos" w:eastAsia="Aptos" w:hAnsi="Aptos"/>
          <w:b/>
          <w:bCs/>
          <w:color w:val="003865"/>
          <w:sz w:val="24"/>
          <w:szCs w:val="24"/>
        </w:rPr>
        <w:t xml:space="preserve">Minnesota and Nigerian History</w:t>
      </w:r>
    </w:p>
    <w:p>
      <w:pPr>
        <w:spacing w:after="160" w:line="300"/>
      </w:pPr>
      <w:r>
        <w:rPr>
          <w:rFonts w:ascii="Aptos" w:cs="Aptos" w:eastAsia="Aptos" w:hAnsi="Aptos"/>
          <w:color w:val="181817"/>
          <w:sz w:val="22"/>
          <w:szCs w:val="22"/>
        </w:rPr>
        <w:t xml:space="preserve">Minnesota holds a Nigerian Compass community large enough that this department will meet it on waivers, child welfare, health care, cash, food, aging, and employment — and large enough that the building has a habit of hearing African and booking Somali or opening historic African American. Compass: about 18,141 (ACS 2019–2023). Greater Minnesota is 12.4 percent. Do not write this people as a Minneapolis anecdote.</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Twin Cities suburbs; Minneapolis and St. Paul pockets; Greater Minnesota towns with hospitals and housing. IgboFest as public life (including North Hennepin / Brooklyn Park in public listings). Churches are public life. They are not consultation. A jollof visit does not make you the expert.</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Minnesota Institute for Nigerian Development (MIND) historically as an umbrella; Igbo associations and IgboFest; Yoruba, Edo, and other associations families name; churches and mosques families name; CECLC as a department door — not the whole. Pay the partner this household actually uses.</w:t>
      </w:r>
    </w:p>
    <w:p>
      <w:pPr>
        <w:spacing w:after="160" w:line="300"/>
      </w:pPr>
      <w:r>
        <w:rPr>
          <w:rFonts w:ascii="Aptos" w:cs="Aptos" w:eastAsia="Aptos" w:hAnsi="Aptos"/>
          <w:color w:val="181817"/>
          <w:sz w:val="22"/>
          <w:szCs w:val="22"/>
        </w:rPr>
        <w:t xml:space="preserve">Nigerian staff are not unpaid interpreters and not the community. Identity is not a staffing plan. IgboFest or Independence Day is optional professional development if you are invited.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Nigerian Minnesota as a state-name community of many peoples. Yoruba, Igbo, Hausa, Edo, Ijaw, Tiv, Ibibio, Fulani, and others are not one file. Book the language this household names. English is official. Nigerian Pidgin is a language, not broken English. Yoruba is not Igbo. Hausa is not Yoruba. A “Nigerian interpreter” is not a language. An “African interpreter” is a closed door.</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This is not Somali. Shared race in the United States is not shared culture. This is not historic African American. Compass African American is a different mash. This is not Liberian as a synonym — related West African coast, different state, different war, different languages. This is not Ghanaian.</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puts Nigerian Minnesota near 18,141. About 87.6 percent Twin Cities, about 12.4 percent Greater Minnesota. About 29.9 percent age 17 or younger; about 8.2 percent 65+. About 60.3 percent foreign-born. Language other than English (age 5+) 55.7 percent; English less than “very well” 7.6 percent. Bachelor’s or higher (25+) 54.0 percent. Date the number. A rate is not the person. High attainment is not the interpreter.</w:t>
      </w:r>
    </w:p>
    <w:p>
      <w:pPr>
        <w:spacing w:after="160" w:line="300"/>
      </w:pPr>
      <w:r>
        <w:rPr>
          <w:rFonts w:ascii="Aptos" w:cs="Aptos" w:eastAsia="Aptos" w:hAnsi="Aptos"/>
          <w:color w:val="181817"/>
          <w:sz w:val="22"/>
          <w:szCs w:val="22"/>
        </w:rPr>
        <w:t xml:space="preserve">The diversity inside this state name is the point. A Yoruba Pentecostal professional, an Igbo Catholic household that still names Biafra, a Hausa Muslim family, an Edo association member, a U.S.-born student who uses English with friends and Igbo with an elder, a Greater Minnesota nurse — share a Compass row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Independence, Biafra, and Later Streams — Foundational Events</w:t>
      </w:r>
    </w:p>
    <w:p>
      <w:pPr>
        <w:spacing w:after="160" w:line="300"/>
      </w:pPr>
      <w:r>
        <w:rPr>
          <w:rFonts w:ascii="Aptos" w:cs="Aptos" w:eastAsia="Aptos" w:hAnsi="Aptos"/>
          <w:color w:val="181817"/>
          <w:sz w:val="22"/>
          <w:szCs w:val="22"/>
        </w:rPr>
        <w:t xml:space="preserve">There is no single 1975 or 1991 on this page. Independence in 1960 is the political founding of the state. Biafra, 1967–1970, is the foundational political event of much of Igbo Minnesota’s first memory. Dead in the millions by some counts. Famine as a weapon. That sentence is literacy. It is not a speech. It is not every Nigerian household.</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Later Minnesota streams are mixed: students, skilled work including healthcare, family reunification, diversity visas. Do not file every Nigerian household as refugee. Do not file every Nigerian household as a doctor. Both sit in this Compass row.</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The desk in 2026 meets first-generation professionals and U.S.-born children — English with peers, still translating for a grandmother whose Igbo or Yoruba was never booked, still filed under Black or under African.</w:t>
      </w:r>
    </w:p>
    <w:p>
      <w:pPr>
        <w:spacing w:after="160" w:line="300"/>
      </w:pPr>
      <w:r>
        <w:rPr>
          <w:rFonts w:ascii="Aptos" w:cs="Aptos" w:eastAsia="Aptos" w:hAnsi="Aptos"/>
          <w:color w:val="181817"/>
          <w:sz w:val="22"/>
          <w:szCs w:val="22"/>
        </w:rPr>
        <w:t xml:space="preserve">If you only know “African,” you will miss this household.</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Family can be larger than a nuclear English form and can look like one. Compass average household size about 2.63 — smaller than Kenyan, Liberian, and Ethiopian Compass rows, dated, still not always Mary Jones. Elders often speak first. Titles — Chief, Obi, Igwe, Alhaji, Deacon — sit in some rooms. Who cares for a disabled adult or a child may be a sibling, an in-law, a church mother, not the legally recognized caregiver on the checkbox.</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Hour caps and “natural supports” can dump unpaid work onto women in that network and call it culture. Naming is already a who: Yoruba, Igbo, Hausa, English. Do not invent a last name because the screen requires one.</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Who speaks in the lobby may be a child with Minnesota English. That child is not the qualified interpreter even when Compass LEP is 7.6 percent. CLAS still stands if this elder needs Yoruba, Igbo, Hausa, or Pidgin. Ask who should be in the room. Minnesota law still stands. Do not skip mandated reporting and call it humility.</w:t>
      </w:r>
    </w:p>
    <w:p>
      <w:pPr>
        <w:pStyle w:val="Heading3"/>
        <w:keepNext/>
        <w:spacing w:after="120" w:before="200"/>
      </w:pPr>
      <w:r>
        <w:rPr>
          <w:rFonts w:ascii="Aptos" w:cs="Aptos" w:eastAsia="Aptos" w:hAnsi="Aptos"/>
          <w:b/>
          <w:bCs/>
          <w:color w:val="003865"/>
          <w:sz w:val="24"/>
          <w:szCs w:val="24"/>
        </w:rPr>
        <w:t xml:space="preserve">Nigerian Minnesota — the heart of a people</w:t>
      </w:r>
    </w:p>
    <w:p>
      <w:pPr>
        <w:spacing w:after="160" w:line="300"/>
      </w:pPr>
      <w:r>
        <w:rPr>
          <w:rFonts w:ascii="Aptos" w:cs="Aptos" w:eastAsia="Aptos" w:hAnsi="Aptos"/>
          <w:color w:val="181817"/>
          <w:sz w:val="22"/>
          <w:szCs w:val="22"/>
        </w:rPr>
        <w:t xml:space="preserve">To be Nigerian in Minnesota is to be a state-name people of many nations, filed under African, Black, and sometimes Somali by a building that has not studied. Peoplehood after colony, after Biafra for some, after oil and military rule, is not a Nollywood poster. Yoruba, Igbo, Hausa, and the rest do not share one Tuesday. You do not pick a side.</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In this building another fact sits on top: many of these households are Black in a U.S. racial order that will file them under historic African American and get the language, the church, the title, and the name wrong. Shared race is not shared culture.</w:t>
      </w:r>
    </w:p>
    <w:p>
      <w:pPr>
        <w:spacing w:after="160" w:line="300"/>
      </w:pPr>
      <w:r>
        <w:rPr>
          <w:rFonts w:ascii="Aptos" w:cs="Aptos" w:eastAsia="Aptos" w:hAnsi="Aptos"/>
          <w:color w:val="181817"/>
          <w:sz w:val="22"/>
          <w:szCs w:val="22"/>
        </w:rPr>
        <w:t xml:space="preserve">Face, elder obligation, titles, and not shaming the name travel into a waiver meeting. Harmony can look like agreement and then a plan nobody follows. Ask whether they agree. Do not take a smile as consent.</w:t>
      </w:r>
    </w:p>
    <w:p>
      <w:pPr>
        <w:spacing w:after="160" w:line="300"/>
      </w:pPr>
      <w:r>
        <w:rPr>
          <w:rFonts w:ascii="Aptos" w:cs="Aptos" w:eastAsia="Aptos" w:hAnsi="Aptos"/>
          <w:color w:val="181817"/>
          <w:sz w:val="22"/>
          <w:szCs w:val="22"/>
        </w:rPr>
        <w:t xml:space="preserve">This guide is a working orientation. Individual variation always supersedes group generalization. Always defer to the person in front of you.</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Which people. Yoruba, Igbo, Hausa, Edo, others. Ask. The Compass row is not the ethnic file.</w:t>
      </w:r>
    </w:p>
    <w:p>
      <w:pPr>
        <w:pStyle w:val="Heading3"/>
        <w:keepNext/>
        <w:spacing w:after="120" w:before="200"/>
      </w:pPr>
      <w:r>
        <w:rPr>
          <w:rFonts w:ascii="Aptos" w:cs="Aptos" w:eastAsia="Aptos" w:hAnsi="Aptos"/>
          <w:b/>
          <w:bCs/>
          <w:color w:val="003865"/>
          <w:sz w:val="24"/>
          <w:szCs w:val="24"/>
        </w:rPr>
        <w:t xml:space="preserve">Which language</w:t>
      </w:r>
    </w:p>
    <w:p>
      <w:pPr>
        <w:spacing w:after="160" w:line="300"/>
      </w:pPr>
      <w:r>
        <w:rPr>
          <w:rFonts w:ascii="Aptos" w:cs="Aptos" w:eastAsia="Aptos" w:hAnsi="Aptos"/>
          <w:color w:val="181817"/>
          <w:sz w:val="22"/>
          <w:szCs w:val="22"/>
        </w:rPr>
        <w:t xml:space="preserve">Yoruba, Igbo, Hausa, Nigerian Pidgin, English, others. A “Nigerian interpreter” is not a language. An “African interpreter” is a closed door. Pidgin is a language, not broken English.</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Chief, Obi, Igwe, Alhaji, Deacon, Doctor. Use them until invited not to. They are not decoration.</w:t>
      </w:r>
    </w:p>
    <w:p>
      <w:pPr>
        <w:pStyle w:val="Heading3"/>
        <w:keepNext/>
        <w:spacing w:after="120" w:before="200"/>
      </w:pPr>
      <w:r>
        <w:rPr>
          <w:rFonts w:ascii="Aptos" w:cs="Aptos" w:eastAsia="Aptos" w:hAnsi="Aptos"/>
          <w:b/>
          <w:bCs/>
          <w:color w:val="003865"/>
          <w:sz w:val="24"/>
          <w:szCs w:val="24"/>
        </w:rPr>
        <w:t xml:space="preserve">Faith is plural</w:t>
      </w:r>
    </w:p>
    <w:p>
      <w:pPr>
        <w:spacing w:after="160" w:line="300"/>
      </w:pPr>
      <w:r>
        <w:rPr>
          <w:rFonts w:ascii="Aptos" w:cs="Aptos" w:eastAsia="Aptos" w:hAnsi="Aptos"/>
          <w:color w:val="181817"/>
          <w:sz w:val="22"/>
          <w:szCs w:val="22"/>
        </w:rPr>
        <w:t xml:space="preserve">Pentecostal, Catholic, Anglican, Islam, Ifá and Odinani in some rooms, none. Follow this room.</w:t>
      </w:r>
    </w:p>
    <w:p>
      <w:pPr>
        <w:spacing w:after="160" w:line="300"/>
      </w:pPr>
      <w:r>
        <w:rPr>
          <w:rFonts w:ascii="Aptos" w:cs="Aptos" w:eastAsia="Aptos" w:hAnsi="Aptos"/>
          <w:color w:val="181817"/>
          <w:sz w:val="22"/>
          <w:szCs w:val="22"/>
        </w:rPr>
        <w:t xml:space="preserve">Do not referee Biafra or north/south politics in a waiver meeting. Do not assume Lagos.</w:t>
      </w:r>
    </w:p>
    <w:p>
      <w:pPr>
        <w:pStyle w:val="Heading3"/>
        <w:keepNext/>
        <w:spacing w:after="120" w:before="200"/>
      </w:pPr>
      <w:r>
        <w:rPr>
          <w:rFonts w:ascii="Aptos" w:cs="Aptos" w:eastAsia="Aptos" w:hAnsi="Aptos"/>
          <w:b/>
          <w:bCs/>
          <w:color w:val="003865"/>
          <w:sz w:val="24"/>
          <w:szCs w:val="24"/>
        </w:rPr>
        <w:t xml:space="preserve">Work and school as a family project</w:t>
      </w:r>
    </w:p>
    <w:p>
      <w:pPr>
        <w:spacing w:after="160" w:line="300"/>
      </w:pPr>
      <w:r>
        <w:rPr>
          <w:rFonts w:ascii="Aptos" w:cs="Aptos" w:eastAsia="Aptos" w:hAnsi="Aptos"/>
          <w:color w:val="181817"/>
          <w:sz w:val="22"/>
          <w:szCs w:val="22"/>
        </w:rPr>
        <w:t xml:space="preserve">High bachelor’s is a pattern, not a model-minority speech and not proof the elder heard the form.</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Christianity is the large public stream in many southern Nigerian Minnesota households: Pentecostal, Catholic, Anglican. Islam lives in Hausa-Fulani rooms and in some Yoruba families. Traditional practice — Ifá, Odinani, and others — sits in some rooms and is not a souvenir and not horror-film content. None is also a Tuesday. Ask. Do not assume Muslim like Somali. Do not assume Pentecostal.</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The church is a center of ritual, mutual aid, information, and often the first Minnesota network. It is not “the community.” Do not BCC one pastor and call it consultation. Do not make clergy or an imam the case plan unless this family asked.</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Funerals gather family and can run long. You still keep medical and legal time. You name the conflict instead of punishing it.</w:t>
      </w:r>
    </w:p>
    <w:p>
      <w:pPr>
        <w:spacing w:after="160" w:line="300"/>
      </w:pPr>
      <w:r>
        <w:rPr>
          <w:rFonts w:ascii="Aptos" w:cs="Aptos" w:eastAsia="Aptos" w:hAnsi="Aptos"/>
          <w:color w:val="181817"/>
          <w:sz w:val="22"/>
          <w:szCs w:val="22"/>
        </w:rPr>
        <w:t xml:space="preserve">Do not treat Ifá or “juju” as a case-note joke. Do not treat a Pentecostal fast as noncompliance with a med until you have asked.</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Titles first in some rooms. English “hello” is ordinary in many professional rooms. Yoruba ẹ n lẹ, Igbo greetings, Hausa sannu live in some rooms. Do not perform tourism greetings as icebreaker. Ask, or follow this room.</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A hard handshake you assume is universal is already a closed door for some women and some elders. Many second-generation people will shake hands in English-language rooms. If a hand is not offered, nod. Do not force it. Use the title until invited not to.</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Somali right-hand rules onto this page as default. In a Muslim Nigerian room they may apply. Follow this room. Do not assume the Black nod is this grammar.</w:t>
      </w:r>
    </w:p>
    <w:p>
      <w:pPr>
        <w:spacing w:after="160" w:line="300"/>
      </w:pPr>
      <w:r>
        <w:rPr>
          <w:rFonts w:ascii="Aptos" w:cs="Aptos" w:eastAsia="Aptos" w:hAnsi="Aptos"/>
          <w:color w:val="181817"/>
          <w:sz w:val="22"/>
          <w:szCs w:val="22"/>
        </w:rPr>
        <w:t xml:space="preserve">Physical contact: ask the room. Cross-gender touch with elders is not a default. Say the name.</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Yoruba names often carry a sentence — Oluwaseun, Adebola, Temitope. Igbo names often carry Chi or Chukwu — Chukwuemeka, Chinwe, Ngozi. Hausa and Muslim names in northern and some Yoruba rooms. English and biblical names sit beside them. A naming ceremony in some families is not folklore. Ask which name they use on this file.</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U.S. forms want first-middle-last and will strip tones and meaning. Ask how to file. Ask how to say it. Do not joke about long names. Do not “shorten” a name for the screen. That invented name becomes a gate.</w:t>
      </w:r>
    </w:p>
    <w:p>
      <w:pPr>
        <w:spacing w:after="160" w:line="300"/>
      </w:pPr>
      <w:r>
        <w:rPr>
          <w:rFonts w:ascii="Aptos" w:cs="Aptos" w:eastAsia="Aptos" w:hAnsi="Aptos"/>
          <w:color w:val="181817"/>
          <w:sz w:val="22"/>
          <w:szCs w:val="22"/>
        </w:rPr>
        <w:t xml:space="preserve">Women may or may not take a husband’s family name in U.S. records. Mother and child may not match. That is not fraud until you have a reason. Titles are not first names. Do not file Chief as a given name unless they said so.</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Independence Day — 1 October. Schedule around it when this family names it. Guest if invited. A calendar click is not community engagement.</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Yoruba, Igbo, and Hausa festival calendars this family names — New Yam in some Igbo rooms, Eid in Muslim rooms, Christmas and Easter on church calendars. IgboFest is Minnesota public life. It is not consultation.</w:t>
      </w:r>
    </w:p>
    <w:p>
      <w:pPr>
        <w:spacing w:after="160" w:line="300"/>
      </w:pPr>
      <w:r>
        <w:rPr>
          <w:rFonts w:ascii="Aptos" w:cs="Aptos" w:eastAsia="Aptos" w:hAnsi="Aptos"/>
          <w:color w:val="181817"/>
          <w:sz w:val="22"/>
          <w:szCs w:val="22"/>
        </w:rPr>
        <w:t xml:space="preserve">Biafra memory for some Igbo rooms is grief and politics, not a party. Do not put it on a case note as color. Do not collect it as a risk score.</w:t>
      </w:r>
    </w:p>
    <w:p>
      <w:pPr>
        <w:spacing w:after="160" w:line="300"/>
      </w:pPr>
      <w:r>
        <w:rPr>
          <w:rFonts w:ascii="Aptos" w:cs="Aptos" w:eastAsia="Aptos" w:hAnsi="Aptos"/>
          <w:color w:val="181817"/>
          <w:sz w:val="22"/>
          <w:szCs w:val="22"/>
        </w:rPr>
        <w:t xml:space="preserve">Do not put “African holiday” on a case note. Ask this family.</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Titles. Do not rush a greeting of an elder. Hospitality is a virtue in many rooms. Accept a little food if offered.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Shoes off in some homes. Right hand for food in some rooms. Church time can run long. Do not photograph a family and call it rapport. Do not enter a prayer space as a tour.</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On-time for appointments. Traffic and multi-household logistics are real. So is a courtesy-yes then no-show when the plan was never agreed. Ask whether they agree. Confirm in the language they use.</w:t>
      </w:r>
    </w:p>
    <w:p>
      <w:pPr>
        <w:spacing w:after="160" w:line="300"/>
      </w:pPr>
      <w:r>
        <w:rPr>
          <w:rFonts w:ascii="Aptos" w:cs="Aptos" w:eastAsia="Aptos" w:hAnsi="Aptos"/>
          <w:color w:val="181817"/>
          <w:sz w:val="22"/>
          <w:szCs w:val="22"/>
        </w:rPr>
        <w:t xml:space="preserve">Do not use a child as the go-between and call it family values. Book the interpreter.</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Book the language this household names. Yoruba, Igbo, Hausa, Edo, Nigerian Pidgin, English, and others. A “Nigerian interpreter” is not a language. An “African interpreter” is a closed door. Pidgin is a language, not broken English. A Somali interpreter is the wrong door. Arabic may be religion, not the interview, in Muslim rooms.</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Compass: among those 5 and older, about 55.7 percent speak a language other than English; about 7.6 percent speak English less than “very well.” Date the number. Low LEP is not proof the form was heard in the language the elder uses for grief and law. Second-generation Minnesota English is common. The IEP still has to reach the parent.</w:t>
      </w:r>
    </w:p>
    <w:p>
      <w:pPr>
        <w:spacing w:after="160" w:line="300"/>
      </w:pPr>
      <w:r>
        <w:rPr>
          <w:rFonts w:ascii="Aptos" w:cs="Aptos" w:eastAsia="Aptos" w:hAnsi="Aptos"/>
          <w:color w:val="181817"/>
          <w:sz w:val="22"/>
          <w:szCs w:val="22"/>
        </w:rPr>
        <w:t xml:space="preserve">A long answer may be story. A short English yes may be exhaustion or courtesy. Do not take a smile as consent. Ask whether they agree with the plan.</w:t>
      </w:r>
    </w:p>
    <w:p>
      <w:pPr>
        <w:spacing w:after="160" w:line="300"/>
      </w:pPr>
      <w:r>
        <w:rPr>
          <w:rFonts w:ascii="Aptos" w:cs="Aptos" w:eastAsia="Aptos" w:hAnsi="Aptos"/>
          <w:color w:val="181817"/>
          <w:sz w:val="22"/>
          <w:szCs w:val="22"/>
        </w:rPr>
        <w:t xml:space="preserve">Do not use a child as the interpreter. Do not make a Nigerian coworker the interpreter. Do not write “broken English” on a file.</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Nigerian Minnesotans exist. Conservative family, Pentecostal, Catholic, and mosque climates can mean silence or exile. Some people live a public English life and a private Yoruba or Igbo life.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Nigeria’s law climate is not this state’s. Do not use this chapter to raid a household. Do not pretend the tension is not there.</w:t>
      </w:r>
    </w:p>
    <w:p>
      <w:pPr>
        <w:spacing w:after="160" w:line="300"/>
      </w:pPr>
      <w:r>
        <w:rPr>
          <w:rFonts w:ascii="Aptos" w:cs="Aptos" w:eastAsia="Aptos" w:hAnsi="Aptos"/>
          <w:color w:val="181817"/>
          <w:sz w:val="22"/>
          <w:szCs w:val="22"/>
        </w:rPr>
        <w:t xml:space="preserve">Biafra memory and church do not get a veto over this person. Always defer to the person in front of you.</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Gele, iro and buba, agbada, isiagu, and other ceremonial dress are public at weddings, Independence, IgboFest, and some church stages. They are not a daily uniform. Second generation looks like Minnesota. Do not ask a woman in clinic whether she “still wears the costume.”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This is not the CROWN Act chapter as the file — and anti-Blackness still sits on Nigerian bodies in U.S. clinics, schools, and traffic stops. Ask this person. Do not mash historic African American hair politics as a script, and do not ignore them.</w:t>
      </w:r>
    </w:p>
    <w:p>
      <w:pPr>
        <w:spacing w:after="160" w:line="300"/>
      </w:pPr>
      <w:r>
        <w:rPr>
          <w:rFonts w:ascii="Aptos" w:cs="Aptos" w:eastAsia="Aptos" w:hAnsi="Aptos"/>
          <w:color w:val="181817"/>
          <w:sz w:val="22"/>
          <w:szCs w:val="22"/>
        </w:rPr>
        <w:t xml:space="preserve">Do not touch. Gold, a gele, a wedding coral — not a mascot for the unit’s Heritage Month table.</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Jùjú, fuji, highlife, Igbo gospel, Hausa popular forms, Afrobeats, Nollywood sound, church choir. Named variation, not a playlist. Ethnic and political memory can sit inside a song. You do not put the wrong anthem on a speaker.</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funeral is not staff entertainment. A playlist is not engagement. Nollywood is public culture. It is not consultation and not a case plan.</w:t>
      </w:r>
    </w:p>
    <w:p>
      <w:pPr>
        <w:spacing w:after="160" w:line="300"/>
      </w:pPr>
      <w:r>
        <w:rPr>
          <w:rFonts w:ascii="Aptos" w:cs="Aptos" w:eastAsia="Aptos" w:hAnsi="Aptos"/>
          <w:color w:val="181817"/>
          <w:sz w:val="22"/>
          <w:szCs w:val="22"/>
        </w:rPr>
        <w:t xml:space="preserve">Independence and IgboFest stages are public life. They are not a form.</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Soccer is public Nigerian life. Super Eagles are a public image. They are not a personality you assign a child in clinic. School sport is ordinary for the second generation. Basketball shows up.</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Do not assume the kid plays. Do not make sport the only excellence you can see. Sport clubs are social infrastructure for some. They are not language access and not a case plan.</w:t>
      </w:r>
    </w:p>
    <w:p>
      <w:pPr>
        <w:spacing w:after="160" w:line="300"/>
      </w:pPr>
      <w:r>
        <w:rPr>
          <w:rFonts w:ascii="Aptos" w:cs="Aptos" w:eastAsia="Aptos" w:hAnsi="Aptos"/>
          <w:color w:val="181817"/>
          <w:sz w:val="22"/>
          <w:szCs w:val="22"/>
        </w:rPr>
        <w:t xml:space="preserve">A Saturday tournament does not replace an interpreter on Monday if this elder needs Yoruba or Igbo.</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English, Yoruba, Igbo, and Hausa made written publics. Chinua Achebe, Wole Soyinka, Chimamanda Ngozi Adichie are literacy for the desk, not a speech you give the family in the lobby. Oral forms sit beside them. Minnesota and U.S. Nigerian writers and journalists exist.</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need to know this is not a people without letters. Many people read English. Some elders read only a home language. A notice that exists only in English is a closed door. High bachelor’s is not proof this elder reads the form.</w:t>
      </w:r>
    </w:p>
    <w:p>
      <w:pPr>
        <w:spacing w:after="160" w:line="300"/>
      </w:pPr>
      <w:r>
        <w:rPr>
          <w:rFonts w:ascii="Aptos" w:cs="Aptos" w:eastAsia="Aptos" w:hAnsi="Aptos"/>
          <w:color w:val="181817"/>
          <w:sz w:val="22"/>
          <w:szCs w:val="22"/>
        </w:rPr>
        <w:t xml:space="preserve">Write what they tell you. Do not strip a name because the screen is impatient.</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Adire, bronze as a public image of a court, gele, contemporary visual work, Nollywood. Jollof, pounded yam, and egusi are foodway, not consultation.</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IgboFest is optional professional development if you are invited. It is not consultation. Do not photograph a family as tourism.</w:t>
      </w:r>
    </w:p>
    <w:p>
      <w:pPr>
        <w:spacing w:after="160" w:line="300"/>
      </w:pPr>
      <w:r>
        <w:rPr>
          <w:rFonts w:ascii="Aptos" w:cs="Aptos" w:eastAsia="Aptos" w:hAnsi="Aptos"/>
          <w:color w:val="181817"/>
          <w:sz w:val="22"/>
          <w:szCs w:val="22"/>
        </w:rPr>
        <w:t xml:space="preserve">Heritage Month that mashes this with historic African American quilts, a Somali poster, or one “African” table has already mashed the adjacent peoples.</w:t>
      </w:r>
    </w:p>
    <w:p>
      <w:pPr>
        <w:pStyle w:val="Heading3"/>
        <w:keepNext/>
        <w:spacing w:after="120" w:before="200"/>
      </w:pPr>
      <w:r>
        <w:rPr>
          <w:rFonts w:ascii="Aptos" w:cs="Aptos" w:eastAsia="Aptos" w:hAnsi="Aptos"/>
          <w:b/>
          <w:bCs/>
          <w:color w:val="003865"/>
          <w:sz w:val="24"/>
          <w:szCs w:val="24"/>
        </w:rPr>
        <w:t xml:space="preserve">Colony, Biafra, and Intra-Community Politics</w:t>
      </w:r>
    </w:p>
    <w:p>
      <w:pPr>
        <w:spacing w:after="160" w:line="300"/>
      </w:pPr>
      <w:r>
        <w:rPr>
          <w:rFonts w:ascii="Aptos" w:cs="Aptos" w:eastAsia="Aptos" w:hAnsi="Aptos"/>
          <w:color w:val="181817"/>
          <w:sz w:val="22"/>
          <w:szCs w:val="22"/>
        </w:rPr>
        <w:t xml:space="preserve">British colony, independence 1960, Biafra 1967–1970 as Igbo literacy for the desk not a speech, military rule, and current Nigeria politics — that is the political event. Intra-Nigerian tension, including Yoruba / Igbo / Hausa memory, lives in Minnesota rooms. Do not referee. Do not pick a side as DHS.</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A DHS badge is not automatically help. Do not use Biafra as a personality. Do not ask a person to narrate famine or killing for your professional development.</w:t>
      </w:r>
    </w:p>
    <w:p>
      <w:pPr>
        <w:spacing w:after="160" w:line="300"/>
      </w:pPr>
      <w:r>
        <w:rPr>
          <w:rFonts w:ascii="Aptos" w:cs="Aptos" w:eastAsia="Aptos" w:hAnsi="Aptos"/>
          <w:color w:val="181817"/>
          <w:sz w:val="22"/>
          <w:szCs w:val="22"/>
        </w:rPr>
        <w:t xml:space="preserve">Enforcement climate in the United States is a different state and still a closed door for some. It changes who opens the door. That is not noncompliance. Do not collect status you do not need. Do not collect ethnic or political speech as a risk score.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Somali. Not Liberian as a synonym. Not Ghanaian as mash — related coast, different state. Not Kenyan. Not Ethiopian. Not historic African American. Compass African American is not this page. Open historic African American for a Great Migration household. Open this for Nigerian.</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Yoruba, Igbo, Hausa and others are not one file. Never one African interpreter. Never one Nigerian module. Never one Black module. Some households are mixed. Some Nigerian families have historic African American in-laws. Ask this household.</w:t>
      </w:r>
    </w:p>
    <w:p>
      <w:pPr>
        <w:spacing w:after="160" w:line="300"/>
      </w:pPr>
      <w:r>
        <w:rPr>
          <w:rFonts w:ascii="Aptos" w:cs="Aptos" w:eastAsia="Aptos" w:hAnsi="Aptos"/>
          <w:color w:val="181817"/>
          <w:sz w:val="22"/>
          <w:szCs w:val="22"/>
        </w:rPr>
        <w:t xml:space="preserve">Shared race is not shared culture. Shared English is not shared English. Shared Christianity is not shared culture. Shared Islam is not shared culture.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Nigerian cultural community: about 18,141; Twin Cities 87.6%; Greater Minnesota 12.4%; age 17 or younger 29.9%; 65+ 8.2%; foreign-born 60.3%; language other than English (age 5+) 55.7%; English less than “very well” 7.6%; high school or higher (25+) 96.1%; bachelor’s or higher 54.0%; median household income about $88,194 (2022 dollars, averaged); poverty 6.8%; owner-occupied 53.8%; renter-occupied 46.2%; average household size 2.63; disability 8.9%.</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Date Compass. Do not invent other rates. Counts disagree across ACS vintages and definitions (ancestry vs. birthplace vs. language). Date the number you cite.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smaller young share than neighboring African Compass rows is not a personality. High bachelor’s and low LEP are not proof the elder heard the form. Language and child-as-interpreter are still gates.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Nigerian profile (ACS 2019–2023). Minnesota Institute for Nigerian Development (MIND) historically as umbrella. IgboFest as public life. Yoruba, Igbo, Edo, and other associations this family names. Churches and mosques this family names. CECLC is a door, not the whole community.</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An eList is not engagement. Pay partners. Report back.</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 Nigerian colleague your unpaid tutor. Do not BCC a church and call it consultation. Guest at IgboFest or Independence Day if invited — it is not consultation. Book the language this household names.</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Nigerian Minnesotans 25 and older, about 96.1 percent high school or higher; about 54.0 percent bachelor’s or higher. Date Compass. About 60.3 percent of the community is foreign-born. High attainment is a documented pattern. It is not a model-minority speech. It is not proof the grandmother needs no interpreter. It is not permission to skip the IEP in the home language.</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Yoruba or Igbo and limited Minnesota professional English is not illiterate. Many Nigerians were schooled in English. Some elders were not. LEP 7.6 percent is real. The English-only form is still a gate. Book THIS language. The child is not the interpreter.</w:t>
      </w:r>
    </w:p>
    <w:p>
      <w:pPr>
        <w:spacing w:after="160" w:line="300"/>
      </w:pPr>
      <w:r>
        <w:rPr>
          <w:rFonts w:ascii="Aptos" w:cs="Aptos" w:eastAsia="Aptos" w:hAnsi="Aptos"/>
          <w:color w:val="181817"/>
          <w:sz w:val="22"/>
          <w:szCs w:val="22"/>
        </w:rPr>
        <w:t xml:space="preserve">Second-generation educational mobility is real. Do not treat a physician in the family as proof the waiver household heard the form.</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Intra-Nigerian politics are real — Yoruba, Igbo, Hausa, Biafra memory, north and south. Do not pick a side as DHS. Do not referee in a waiver meeting. Do not file politics as a risk score.</w:t>
      </w:r>
    </w:p>
    <w:p>
      <w:pPr>
        <w:spacing w:after="160" w:line="300"/>
      </w:pPr>
      <w:r>
        <w:rPr>
          <w:rFonts w:ascii="Aptos" w:cs="Aptos" w:eastAsia="Aptos" w:hAnsi="Aptos"/>
          <w:color w:val="181817"/>
          <w:sz w:val="22"/>
          <w:szCs w:val="22"/>
        </w:rPr>
        <w:t xml:space="preserve">FGC exists in some Nigerian communities. Minnesota law stands. Do not invent a Nigerian Minnesota rate. Do not mash Somali prevalence onto this household. Follow mandated reporting. Still see a family.</w:t>
      </w:r>
    </w:p>
    <w:p>
      <w:pPr>
        <w:spacing w:after="160" w:line="300"/>
      </w:pPr>
      <w:r>
        <w:rPr>
          <w:rFonts w:ascii="Aptos" w:cs="Aptos" w:eastAsia="Aptos" w:hAnsi="Aptos"/>
          <w:color w:val="181817"/>
          <w:sz w:val="22"/>
          <w:szCs w:val="22"/>
        </w:rPr>
        <w:t xml:space="preserve">Colorism sits in some rooms. You do not fix it as a personality. You do not ignore it when it becomes a gate.</w:t>
      </w:r>
    </w:p>
    <w:p>
      <w:pPr>
        <w:spacing w:after="160" w:line="300"/>
      </w:pPr>
      <w:r>
        <w:rPr>
          <w:rFonts w:ascii="Aptos" w:cs="Aptos" w:eastAsia="Aptos" w:hAnsi="Aptos"/>
          <w:color w:val="181817"/>
          <w:sz w:val="22"/>
          <w:szCs w:val="22"/>
        </w:rPr>
        <w:t xml:space="preserve">Queer and trans Nigerian Minnesotans exist. You use the name. You do not out someone to kin and call it culture. Nigeria’s own law climate is not Minnesota’s. Do not skip mandated reporting and call it humility.</w:t>
      </w:r>
    </w:p>
    <w:p>
      <w:pPr>
        <w:spacing w:after="160" w:line="300"/>
      </w:pPr>
      <w:r>
        <w:rPr>
          <w:rFonts w:ascii="Aptos" w:cs="Aptos" w:eastAsia="Aptos" w:hAnsi="Aptos"/>
          <w:color w:val="181817"/>
          <w:sz w:val="22"/>
          <w:szCs w:val="22"/>
        </w:rPr>
        <w:t xml:space="preserve">Enforcement climate is structure for some. Do not collect status you do not need. Do not treat fear as noncompliance. 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Believe reported pain. Do not invent African stoicism. Do not fold this history into Tuskegee. This is not the historic African American page. Shared race is not shared medical history. Do not mash Somali MDH findings onto this people.</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Hepatitis B screening for people born in Nigeria is a U.S. public-health pattern — CDC has treated Nigeria as a higher-prevalence birth country in screening guidance. Date the CDC page you cite. Do not invent a Minnesota rate. Do not skip screening because the person looks well or holds a degree.</w:t>
      </w:r>
    </w:p>
    <w:p>
      <w:pPr>
        <w:spacing w:after="160" w:line="300"/>
      </w:pPr>
      <w:r>
        <w:rPr>
          <w:rFonts w:ascii="Aptos" w:cs="Aptos" w:eastAsia="Aptos" w:hAnsi="Aptos"/>
          <w:color w:val="181817"/>
          <w:sz w:val="22"/>
          <w:szCs w:val="22"/>
        </w:rPr>
        <w:t xml:space="preserve">Compass disability 8.9 percent — dated. Mental-health stigma is real in some families. Biafra memory and later trauma sit in some rooms. A smile is not a PHQ-9. No dated Nigerian-specific Minnesota autism rate belongs on this page. Do not invent one.</w:t>
      </w:r>
    </w:p>
    <w:p>
      <w:pPr>
        <w:spacing w:after="160" w:line="300"/>
      </w:pPr>
      <w:r>
        <w:rPr>
          <w:rFonts w:ascii="Aptos" w:cs="Aptos" w:eastAsia="Aptos" w:hAnsi="Aptos"/>
          <w:color w:val="181817"/>
          <w:sz w:val="22"/>
          <w:szCs w:val="22"/>
        </w:rPr>
        <w:t xml:space="preserve">Gender match may be requested in maternal and intimate care. Offer it. Traditional medicine and church healing often sit beside biomedicine. Ask. Co-create. FGC: Minnesota law stands; do not invent a rate; do not skip care. High education is not a clinical history.</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Professional class, nursing, entrepreneurship, shop, restaurant, public employment. Compass median household income about $88,194; poverty 6.8 percent; owner 53.8 percent; bachelor’s or higher 54.0 percent — dated. High income and high education are patterns. They are not a model-minority speech. They are not proof the gates closed. They are not permission to skip language access for the elder.</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Nigerian staff inside the department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may precede a signature. That is not permission to skip a notice. It is a reason the first visit may not be the decision. Pay the partner this household names — MIND, an Igbo association, a church, whoever they use.</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Which people and which language are the first closed door. An interpreter labeled Nigerian, African, or Somali who is not Yoruba, Igbo, Hausa, Pidgin, or whatever this household names is a closed door. Pidgin is a language. Still book a qualified interpreter. Do not use a child. Do not make staff the interpreter.</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Who is in the room. A child pushed forward as Minnesota English. A title you skipped. A pastor in the story. Pain you must believe. High education in the chart used as an excuse to skip the interpreter. Deportation climate.</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Offer gender match. Ask who should hear. Ask how to file the name. Use the title. If they name traditional medicine or church healing, listen. Mandated reporting still exists. Believe reported pain. Do not invent African stoicism. Do not mix Tuskegee or Somali CI into this history.</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an interpreter labeled Nigerian, African, or Somali who is not Yoruba, Igbo, Hausa, Pidgin, or whatever this household names is a closed door. Pidgin is a language, not broken English. Still book a qualified interpreter. Do not use a child. Gender match may be requested in maternal and intimate care.</w:t>
      </w:r>
    </w:p>
    <w:p>
      <w:pPr>
        <w:spacing w:after="160" w:line="300"/>
      </w:pPr>
      <w:r>
        <w:rPr>
          <w:rFonts w:ascii="Aptos" w:cs="Aptos" w:eastAsia="Aptos" w:hAnsi="Aptos"/>
          <w:color w:val="181817"/>
          <w:sz w:val="22"/>
          <w:szCs w:val="22"/>
        </w:rPr>
        <w:t xml:space="preserve">Names and titles: Yoruba and Igbo names carry sentences. The database that shortens them or invents a last name is a gate. Skip a title and you have already closed a door.</w:t>
      </w:r>
    </w:p>
    <w:p>
      <w:pPr>
        <w:spacing w:after="160" w:line="300"/>
      </w:pPr>
      <w:r>
        <w:rPr>
          <w:rFonts w:ascii="Aptos" w:cs="Aptos" w:eastAsia="Aptos" w:hAnsi="Aptos"/>
          <w:color w:val="181817"/>
          <w:sz w:val="22"/>
          <w:szCs w:val="22"/>
        </w:rPr>
        <w:t xml:space="preserve">Hour caps, exception processes, and life-sharing matches without language are not culturally neutral.</w:t>
      </w:r>
    </w:p>
    <w:p>
      <w:pPr>
        <w:spacing w:after="160" w:line="300"/>
      </w:pPr>
      <w:r>
        <w:rPr>
          <w:rFonts w:ascii="Aptos" w:cs="Aptos" w:eastAsia="Aptos" w:hAnsi="Aptos"/>
          <w:color w:val="181817"/>
          <w:sz w:val="22"/>
          <w:szCs w:val="22"/>
        </w:rPr>
        <w:t xml:space="preserve">Child welfare and disability: help-seeking that becomes a report is part of why people wait. Mandated reporting still exists. So does the duty not to treat a whole community as a risk score. FGC: Minnesota law stands; do not invent a rate. Do not invent African stoicism.</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 High bachelor’s is not a mailing list. Greater Minnesota is 12.4 percent.</w:t>
      </w:r>
    </w:p>
    <w:p>
      <w:pPr>
        <w:spacing w:after="160" w:line="300"/>
      </w:pPr>
      <w:r>
        <w:rPr>
          <w:rFonts w:ascii="Aptos" w:cs="Aptos" w:eastAsia="Aptos" w:hAnsi="Aptos"/>
          <w:color w:val="181817"/>
          <w:sz w:val="22"/>
          <w:szCs w:val="22"/>
        </w:rPr>
        <w:t xml:space="preserve">Workforce: Nigerian staff are not the interpreter pool and not the community. Staff are colleagues, not the curriculum. Do not treat  them.</w:t>
      </w:r>
    </w:p>
    <w:p>
      <w:pPr>
        <w:spacing w:after="160" w:line="300"/>
      </w:pPr>
      <w:r>
        <w:rPr>
          <w:rFonts w:ascii="Aptos" w:cs="Aptos" w:eastAsia="Aptos" w:hAnsi="Aptos"/>
          <w:color w:val="181817"/>
          <w:sz w:val="22"/>
          <w:szCs w:val="22"/>
        </w:rPr>
        <w:t xml:space="preserve">Somali mash and Black mash: opening Somali because Africa, or historic African American because both are Black, is a closed door.</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heard “Nigerian” and booked an African interpreter.</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Nigerian Minnesota</dc:title>
  <dc:creator>One DHS People, Access and Culture</dc:creator>
  <dc:description>This brief is about Nigerian Minnesota as a state-name community of many peoples. Yoruba, Igbo, Hausa, Edo, Ijaw, Tiv, Ibibio, Fulani, and others are not one file. Book the language this household names. English is official. Nigerian Pidgin is a language, not broken English. Yoruba is not Igbo. Hausa is not Yoruba. A “Nigerian interpreter” is not a language. An “African interpreter” is a closed door.</dc:description>
  <cp:lastModifiedBy>Un-named</cp:lastModifiedBy>
  <cp:revision>1</cp:revision>
  <dcterms:created xsi:type="dcterms:W3CDTF">2026-10-05T01:21:40.707Z</dcterms:created>
  <dcterms:modified xsi:type="dcterms:W3CDTF">2026-10-05T01:21:40.707Z</dcterms:modified>
</cp:coreProperties>
</file>

<file path=docProps/custom.xml><?xml version="1.0" encoding="utf-8"?>
<Properties xmlns="http://schemas.openxmlformats.org/officeDocument/2006/custom-properties" xmlns:vt="http://schemas.openxmlformats.org/officeDocument/2006/docPropsVTypes"/>
</file>