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Native American Minnesotans</w:t>
      </w:r>
    </w:p>
    <w:p>
      <w:pPr>
        <w:spacing w:after="160"/>
      </w:pPr>
      <w:r>
        <w:rPr>
          <w:rFonts w:ascii="Aptos" w:cs="Aptos" w:eastAsia="Aptos" w:hAnsi="Aptos"/>
          <w:i/>
          <w:iCs/>
          <w:color w:val="353532"/>
          <w:sz w:val="23"/>
          <w:szCs w:val="23"/>
        </w:rPr>
        <w:t xml:space="preserve">This door is on the spine because every Compass cultural community in Minnesota gets covered — wide and deep, no leftover. Compass count is not government-to-government. Open the Eleven Nations CI for sovereignty. Urban Native is not off the list.</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Standing deference: </w:t>
      </w:r>
      <w:r>
        <w:rPr>
          <w:rFonts w:ascii="Aptos" w:cs="Aptos" w:eastAsia="Aptos" w:hAnsi="Aptos"/>
          <w:color w:val="181817"/>
          <w:sz w:val="22"/>
          <w:szCs w:val="22"/>
        </w:rPr>
        <w:t xml:space="preserve">This program defers to the Office of Indian Affairs and to the Department of Human Services offices that handle Tribal relations and consultation for anything concerning Native American individuals, communities, or Tribal Nations. That deference is standing, not a brief under construction — this program does not complete or expand this content on its own. For anything substantive, contact the Office of Indian Affairs or the Department of Human Services offices that handle Tribal relations and consultation directly.</w:t>
      </w: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w:t>
      </w:r>
    </w:p>
    <w:p>
      <w:pPr>
        <w:spacing w:after="160" w:line="300"/>
      </w:pPr>
      <w:r>
        <w:rPr>
          <w:rFonts w:ascii="Aptos" w:cs="Aptos" w:eastAsia="Aptos" w:hAnsi="Aptos"/>
          <w:color w:val="181817"/>
          <w:sz w:val="22"/>
          <w:szCs w:val="22"/>
        </w:rPr>
        <w:t xml:space="preserve">Full origin chapters grow to African American depth as we write them. Nothing is lite because the count is smaller. Pattern now. Ethnography next. Unvarnished.</w:t>
      </w:r>
    </w:p>
    <w:p>
      <w:pPr>
        <w:pStyle w:val="Heading3"/>
        <w:keepNext/>
        <w:spacing w:after="120" w:before="200"/>
      </w:pPr>
      <w:r>
        <w:rPr>
          <w:rFonts w:ascii="Aptos" w:cs="Aptos" w:eastAsia="Aptos" w:hAnsi="Aptos"/>
          <w:b/>
          <w:bCs/>
          <w:color w:val="003865"/>
          <w:sz w:val="24"/>
          <w:szCs w:val="24"/>
        </w:rPr>
        <w:t xml:space="preserve">Geography — Minnesota, dated</w:t>
      </w:r>
    </w:p>
    <w:p>
      <w:pPr>
        <w:spacing w:after="160" w:line="300"/>
      </w:pPr>
      <w:r>
        <w:rPr>
          <w:rFonts w:ascii="Aptos" w:cs="Aptos" w:eastAsia="Aptos" w:hAnsi="Aptos"/>
          <w:color w:val="181817"/>
          <w:sz w:val="22"/>
          <w:szCs w:val="22"/>
        </w:rPr>
        <w:t xml:space="preserve">Open the live Compass table: https://www.mncompass.org/topics/demographics/cultural-communities/native-american</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How to use this — who this is, who this is not</w:t>
      </w:r>
    </w:p>
    <w:p>
      <w:pPr>
        <w:spacing w:after="160" w:line="300"/>
      </w:pPr>
      <w:r>
        <w:rPr>
          <w:rFonts w:ascii="Aptos" w:cs="Aptos" w:eastAsia="Aptos" w:hAnsi="Aptos"/>
          <w:color w:val="181817"/>
          <w:sz w:val="22"/>
          <w:szCs w:val="22"/>
        </w:rPr>
        <w:t xml:space="preserve">This door is on the spine because every Compass cultural community in Minnesota gets covered — wide and deep, no leftover. Compass count is not government-to-government. Open the Eleven Nations CI for sovereignty. Urban Native is not off the list.</w:t>
      </w:r>
    </w:p>
    <w:p>
      <w:pPr>
        <w:spacing w:after="160" w:line="300"/>
      </w:pPr>
      <w:r>
        <w:rPr>
          <w:rFonts w:ascii="Aptos" w:cs="Aptos" w:eastAsia="Aptos" w:hAnsi="Aptos"/>
          <w:color w:val="181817"/>
          <w:sz w:val="22"/>
          <w:szCs w:val="22"/>
        </w:rPr>
        <w:t xml:space="preserve">Counts disagree across ACS vintages. Compass uses IPUMS ACS 2019–2023. Date what you cite. People in more than one group can appear in more than one Compass profile.</w:t>
      </w:r>
    </w:p>
    <w:p>
      <w:pPr>
        <w:spacing w:after="160" w:line="300"/>
      </w:pPr>
      <w:r>
        <w:rPr>
          <w:rFonts w:ascii="Aptos" w:cs="Aptos" w:eastAsia="Aptos" w:hAnsi="Aptos"/>
          <w:color w:val="181817"/>
          <w:sz w:val="22"/>
          <w:szCs w:val="22"/>
        </w:rPr>
        <w:t xml:space="preserve">This is not a racial module. This is not a Tribal Nation unless the household is. This is not permission to skip language access or the Toolkit.</w:t>
      </w:r>
    </w:p>
    <w:p>
      <w:pPr>
        <w:pStyle w:val="Heading3"/>
        <w:keepNext/>
        <w:spacing w:after="120" w:before="200"/>
      </w:pPr>
      <w:r>
        <w:rPr>
          <w:rFonts w:ascii="Aptos" w:cs="Aptos" w:eastAsia="Aptos" w:hAnsi="Aptos"/>
          <w:b/>
          <w:bCs/>
          <w:color w:val="003865"/>
          <w:sz w:val="24"/>
          <w:szCs w:val="24"/>
        </w:rPr>
        <w:t xml:space="preserve">Minnesota specifically</w:t>
      </w:r>
    </w:p>
    <w:p>
      <w:pPr>
        <w:spacing w:after="160" w:line="300"/>
      </w:pPr>
      <w:r>
        <w:rPr>
          <w:rFonts w:ascii="Aptos" w:cs="Aptos" w:eastAsia="Aptos" w:hAnsi="Aptos"/>
          <w:color w:val="181817"/>
          <w:sz w:val="22"/>
          <w:szCs w:val="22"/>
        </w:rPr>
        <w:t xml:space="preserve">Guest. Pay. Report back. An eList is not engagement.</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Compass count is not government-to-government. Open the Eleven Nations CI for sovereignty. Urban Native is not off the list. That is the first grammar. The rest is written at full depth, not guessed to look complete.</w:t>
      </w:r>
    </w:p>
    <w:p>
      <w:pPr>
        <w:pStyle w:val="Heading3"/>
        <w:keepNext/>
        <w:spacing w:after="120" w:before="200"/>
      </w:pPr>
      <w:r>
        <w:rPr>
          <w:rFonts w:ascii="Aptos" w:cs="Aptos" w:eastAsia="Aptos" w:hAnsi="Aptos"/>
          <w:b/>
          <w:bCs/>
          <w:color w:val="003865"/>
          <w:sz w:val="24"/>
          <w:szCs w:val="24"/>
        </w:rPr>
        <w:t xml:space="preserve">Language, names, communication</w:t>
      </w:r>
    </w:p>
    <w:p>
      <w:pPr>
        <w:spacing w:after="160" w:line="300"/>
      </w:pPr>
      <w:r>
        <w:rPr>
          <w:rFonts w:ascii="Aptos" w:cs="Aptos" w:eastAsia="Aptos" w:hAnsi="Aptos"/>
          <w:color w:val="181817"/>
          <w:sz w:val="22"/>
          <w:szCs w:val="22"/>
        </w:rPr>
        <w:t xml:space="preserve">An interpreter labeled with a country name can still be the wrong language.</w:t>
      </w:r>
    </w:p>
    <w:p>
      <w:pPr>
        <w:pStyle w:val="Heading3"/>
        <w:keepNext/>
        <w:spacing w:after="120" w:before="200"/>
      </w:pPr>
      <w:r>
        <w:rPr>
          <w:rFonts w:ascii="Aptos" w:cs="Aptos" w:eastAsia="Aptos" w:hAnsi="Aptos"/>
          <w:b/>
          <w:bCs/>
          <w:color w:val="003865"/>
          <w:sz w:val="24"/>
          <w:szCs w:val="24"/>
        </w:rPr>
        <w:t xml:space="preserve">What you will not conclude</w:t>
      </w:r>
    </w:p>
    <w:p>
      <w:pPr>
        <w:spacing w:after="160" w:line="300"/>
      </w:pPr>
      <w:r>
        <w:rPr>
          <w:rFonts w:ascii="Aptos" w:cs="Aptos" w:eastAsia="Aptos" w:hAnsi="Aptos"/>
          <w:color w:val="181817"/>
          <w:sz w:val="22"/>
          <w:szCs w:val="22"/>
        </w:rPr>
        <w:t xml:space="preserve">If you leave saying you know this people now, the intelligence failed. It became a capsule.</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Other considerations — unvarnished</w:t>
      </w:r>
    </w:p>
    <w:p>
      <w:pPr>
        <w:spacing w:after="160" w:line="300"/>
      </w:pPr>
      <w:r>
        <w:rPr>
          <w:rFonts w:ascii="Aptos" w:cs="Aptos" w:eastAsia="Aptos" w:hAnsi="Aptos"/>
          <w:color w:val="181817"/>
          <w:sz w:val="22"/>
          <w:szCs w:val="22"/>
        </w:rPr>
        <w:t xml:space="preserve">ERGs may add. They may not delete a fact because it is hard to say in a Minimization room.</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Identical process is Minimization. Universal goal, targeted channel. This door exists so the packet has a household in it.</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Native American Minnesotans</dc:title>
  <dc:creator>One DHS People, Access and Culture</dc:creator>
  <dc:description>This door is on the spine because every Compass cultural community in Minnesota gets covered — wide and deep, no leftover. Compass count is not government-to-government. Open the Eleven Nations CI for sovereignty. Urban Native is not off the list.</dc:description>
  <cp:lastModifiedBy>Un-named</cp:lastModifiedBy>
  <cp:revision>1</cp:revision>
  <dcterms:created xsi:type="dcterms:W3CDTF">2026-10-05T01:18:20.000Z</dcterms:created>
  <dcterms:modified xsi:type="dcterms:W3CDTF">2026-10-05T01:18:20.000Z</dcterms:modified>
</cp:coreProperties>
</file>

<file path=docProps/custom.xml><?xml version="1.0" encoding="utf-8"?>
<Properties xmlns="http://schemas.openxmlformats.org/officeDocument/2006/custom-properties" xmlns:vt="http://schemas.openxmlformats.org/officeDocument/2006/docPropsVTypes"/>
</file>