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European American Minnesota</w:t>
      </w:r>
    </w:p>
    <w:p>
      <w:pPr>
        <w:spacing w:after="160"/>
      </w:pPr>
      <w:r>
        <w:rPr>
          <w:rFonts w:ascii="Aptos" w:cs="Aptos" w:eastAsia="Aptos" w:hAnsi="Aptos"/>
          <w:i/>
          <w:iCs/>
          <w:color w:val="353532"/>
          <w:sz w:val="23"/>
          <w:szCs w:val="23"/>
        </w:rPr>
        <w:t xml:space="preserve">This page is European American cultural intelligence in Minnesota — historic cultures, not a “white people” mash. Norwegian Lutheran farm culture, German civic order, Irish Catholic St. Paul, Iron Range, Yankee New England, and later European streams are not one module. That mash is the same error we refused for Black and Asian.</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Settler Cultures Here</w:t>
      </w:r>
    </w:p>
    <w:p>
      <w:pPr>
        <w:spacing w:after="160" w:line="300"/>
      </w:pPr>
      <w:r>
        <w:rPr>
          <w:rFonts w:ascii="Aptos" w:cs="Aptos" w:eastAsia="Aptos" w:hAnsi="Aptos"/>
          <w:color w:val="181817"/>
          <w:sz w:val="22"/>
          <w:szCs w:val="22"/>
        </w:rPr>
        <w:t xml:space="preserve">After Indigenous nations: French; Yankee; then large German and Scandinavian streams; Irish, Slavic, and others. Homestead, railroad, church, and cooperative institutions.</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A people who think they have no culture will call their form “neutral.” That is the founding problem this brief exists to name. History is literacy for the desk, including for staff of color who did not grow up inside this unmarked system.</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Full mosaic by stream is still deepening. German, Norwegian, Swedish, Finnish, Irish, Czech, Polish are separate grammars, not a race poster.</w:t>
      </w:r>
    </w:p>
    <w:p>
      <w:pPr>
        <w:pStyle w:val="Heading3"/>
        <w:keepNext/>
        <w:spacing w:after="120" w:before="200"/>
      </w:pPr>
      <w:r>
        <w:rPr>
          <w:rFonts w:ascii="Aptos" w:cs="Aptos" w:eastAsia="Aptos" w:hAnsi="Aptos"/>
          <w:b/>
          <w:bCs/>
          <w:color w:val="003865"/>
          <w:sz w:val="24"/>
          <w:szCs w:val="24"/>
        </w:rPr>
        <w:t xml:space="preserve">Geography</w:t>
      </w:r>
    </w:p>
    <w:p>
      <w:pPr>
        <w:spacing w:after="160" w:line="300"/>
      </w:pPr>
      <w:r>
        <w:rPr>
          <w:rFonts w:ascii="Aptos" w:cs="Aptos" w:eastAsia="Aptos" w:hAnsi="Aptos"/>
          <w:color w:val="181817"/>
          <w:sz w:val="22"/>
          <w:szCs w:val="22"/>
        </w:rPr>
        <w:t xml:space="preserve">Farm counties. Iron Range. St. Paul Irish and German civic. Scandinavian towns. Later metro suburbs. Not one map.</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These streams came from named places in Europe. They are not a blank. Name the stream.</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Name the stream and the town. Iron Range is not a Minneapolis suburb.</w:t>
      </w:r>
    </w:p>
    <w:p>
      <w:pPr>
        <w:pStyle w:val="Heading3"/>
        <w:keepNext/>
        <w:spacing w:after="120" w:before="200"/>
      </w:pPr>
      <w:r>
        <w:rPr>
          <w:rFonts w:ascii="Aptos" w:cs="Aptos" w:eastAsia="Aptos" w:hAnsi="Aptos"/>
          <w:b/>
          <w:bCs/>
          <w:color w:val="003865"/>
          <w:sz w:val="24"/>
          <w:szCs w:val="24"/>
        </w:rPr>
        <w:t xml:space="preserve">Migration and Foundational Events</w:t>
      </w:r>
    </w:p>
    <w:p>
      <w:pPr>
        <w:spacing w:after="160" w:line="300"/>
      </w:pPr>
      <w:r>
        <w:rPr>
          <w:rFonts w:ascii="Aptos" w:cs="Aptos" w:eastAsia="Aptos" w:hAnsi="Aptos"/>
          <w:color w:val="181817"/>
          <w:sz w:val="22"/>
          <w:szCs w:val="22"/>
        </w:rPr>
        <w:t xml:space="preserve">Homestead and railroad. Later European streams. People leave and return.</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Settler presence is not empty of 1862.</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Do not tell a Native household this is “everyone’s immigration story.”</w:t>
      </w:r>
    </w:p>
    <w:p>
      <w:pPr>
        <w:pStyle w:val="Heading3"/>
        <w:keepNext/>
        <w:spacing w:after="120" w:before="200"/>
      </w:pPr>
      <w:r>
        <w:rPr>
          <w:rFonts w:ascii="Aptos" w:cs="Aptos" w:eastAsia="Aptos" w:hAnsi="Aptos"/>
          <w:b/>
          <w:bCs/>
          <w:color w:val="003865"/>
          <w:sz w:val="24"/>
          <w:szCs w:val="24"/>
        </w:rPr>
        <w:t xml:space="preserve">Civil Rights Memory</w:t>
      </w:r>
    </w:p>
    <w:p>
      <w:pPr>
        <w:spacing w:after="160" w:line="300"/>
      </w:pPr>
      <w:r>
        <w:rPr>
          <w:rFonts w:ascii="Aptos" w:cs="Aptos" w:eastAsia="Aptos" w:hAnsi="Aptos"/>
          <w:color w:val="181817"/>
          <w:sz w:val="22"/>
          <w:szCs w:val="22"/>
        </w:rPr>
        <w:t xml:space="preserve">Settler state. 1862. Civil rights this building had to be made to keep. Not a symmetry claim.</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360° does not cancel the record. A DHS badge is not automatically help.</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page is European American cultural intelligence in Minnesota — historic cultures, not a “white people” mash. Norwegian Lutheran farm culture, German civic order, Irish Catholic St. Paul, Iron Range, Yankee New England, and later European streams are not one module. That mash is the same error we refused for Black and Asian.</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People of color have to understand these cultures too. Dominant-culture staff have to see them as culture, not as professionalism. This is not white-versus-minority as the only frame. It is not a claim that racism is symmetrical. The record still exists.</w:t>
      </w:r>
    </w:p>
    <w:p>
      <w:pPr>
        <w:spacing w:after="160" w:line="300"/>
      </w:pPr>
      <w:r>
        <w:rPr>
          <w:rFonts w:ascii="Aptos" w:cs="Aptos" w:eastAsia="Aptos" w:hAnsi="Aptos"/>
          <w:color w:val="181817"/>
          <w:sz w:val="22"/>
          <w:szCs w:val="22"/>
        </w:rPr>
        <w:t xml:space="preserve">Minnesota State Demographic Center, 2018 ACS ancestry (people could report more than one): German about 1,801,700; Norwegian 810,300; Irish 516,500; Swedish 429,800; English 290,200; Polish 248,000. Overlap is the point. Date 2018.</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This is not one white people. It is not a substitute for Somali, Hmong, African American, or the eleven nations. It is not a claim that racism is symmetrical.</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this family. Open the people brief that matches the household in front of you.</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Nuclear forms that feel like nature. Kin still sit in farm and church networks. “Just the parents” is already a design choice.</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Ask who should be in the room. Do not treat nuclear as professional and extended as deficit.</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The person who talks in the lobby may not be the person who decides. Follow this room.</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Unmarked operating system of much of this department. County desks. Church geography.</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Name it. Do not mock it. Do not let it write the cap as “just being adult.”</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Church geography is real. It is not “the community.” Open the people brief that matches this household.</w:t>
      </w:r>
    </w:p>
    <w:p>
      <w:pPr>
        <w:pStyle w:val="Heading3"/>
        <w:keepNext/>
        <w:spacing w:after="120" w:before="200"/>
      </w:pPr>
      <w:r>
        <w:rPr>
          <w:rFonts w:ascii="Aptos" w:cs="Aptos" w:eastAsia="Aptos" w:hAnsi="Aptos"/>
          <w:b/>
          <w:bCs/>
          <w:color w:val="003865"/>
          <w:sz w:val="24"/>
          <w:szCs w:val="24"/>
        </w:rPr>
        <w:t xml:space="preserve">Heart — Unmarked Grammar</w:t>
      </w:r>
    </w:p>
    <w:p>
      <w:pPr>
        <w:spacing w:after="160" w:line="300"/>
      </w:pPr>
      <w:r>
        <w:rPr>
          <w:rFonts w:ascii="Aptos" w:cs="Aptos" w:eastAsia="Aptos" w:hAnsi="Aptos"/>
          <w:color w:val="181817"/>
          <w:sz w:val="22"/>
          <w:szCs w:val="22"/>
        </w:rPr>
        <w:t xml:space="preserve">Minnesota Nice is often unmarked Scandinavian-German Protestant civic culture: conflict-avoidance, sameness-as-fairness, time and forms that feel like “just being adult.” It is not kindness as such. It can hide harm and also hold real communal obligation. Both can be true.</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When a unit says “we don’t see color, we treat everyone the same,” you are often inside this grammar. Seeing it as culture is the work. A room that treats everyone the same calls it just being decent.</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These concepts recur. They are hypotheses you still test on this family.</w:t>
      </w:r>
    </w:p>
    <w:p>
      <w:pPr>
        <w:pStyle w:val="Heading3"/>
        <w:keepNext/>
        <w:spacing w:after="120" w:before="200"/>
      </w:pPr>
      <w:r>
        <w:rPr>
          <w:rFonts w:ascii="Aptos" w:cs="Aptos" w:eastAsia="Aptos" w:hAnsi="Aptos"/>
          <w:b/>
          <w:bCs/>
          <w:color w:val="003865"/>
          <w:sz w:val="24"/>
          <w:szCs w:val="24"/>
        </w:rPr>
        <w:t xml:space="preserve">Sameness-as-fairness</w:t>
      </w:r>
    </w:p>
    <w:p>
      <w:pPr>
        <w:spacing w:after="160" w:line="300"/>
      </w:pPr>
      <w:r>
        <w:rPr>
          <w:rFonts w:ascii="Aptos" w:cs="Aptos" w:eastAsia="Aptos" w:hAnsi="Aptos"/>
          <w:color w:val="181817"/>
          <w:sz w:val="22"/>
          <w:szCs w:val="22"/>
        </w:rPr>
        <w:t xml:space="preserve">Identical process as the fairness story. Not a statute.</w:t>
      </w:r>
    </w:p>
    <w:p>
      <w:pPr>
        <w:pStyle w:val="Heading3"/>
        <w:keepNext/>
        <w:spacing w:after="120" w:before="200"/>
      </w:pPr>
      <w:r>
        <w:rPr>
          <w:rFonts w:ascii="Aptos" w:cs="Aptos" w:eastAsia="Aptos" w:hAnsi="Aptos"/>
          <w:b/>
          <w:bCs/>
          <w:color w:val="003865"/>
          <w:sz w:val="24"/>
          <w:szCs w:val="24"/>
        </w:rPr>
        <w:t xml:space="preserve">Conflict-avoidance</w:t>
      </w:r>
    </w:p>
    <w:p>
      <w:pPr>
        <w:spacing w:after="160" w:line="300"/>
      </w:pPr>
      <w:r>
        <w:rPr>
          <w:rFonts w:ascii="Aptos" w:cs="Aptos" w:eastAsia="Aptos" w:hAnsi="Aptos"/>
          <w:color w:val="181817"/>
          <w:sz w:val="22"/>
          <w:szCs w:val="22"/>
        </w:rPr>
        <w:t xml:space="preserve">Don’t make a scene. An indirect no is still a no.</w:t>
      </w:r>
    </w:p>
    <w:p>
      <w:pPr>
        <w:pStyle w:val="Heading3"/>
        <w:keepNext/>
        <w:spacing w:after="120" w:before="200"/>
      </w:pPr>
      <w:r>
        <w:rPr>
          <w:rFonts w:ascii="Aptos" w:cs="Aptos" w:eastAsia="Aptos" w:hAnsi="Aptos"/>
          <w:b/>
          <w:bCs/>
          <w:color w:val="003865"/>
          <w:sz w:val="24"/>
          <w:szCs w:val="24"/>
        </w:rPr>
        <w:t xml:space="preserve">Appointment as moral</w:t>
      </w:r>
    </w:p>
    <w:p>
      <w:pPr>
        <w:spacing w:after="160" w:line="300"/>
      </w:pPr>
      <w:r>
        <w:rPr>
          <w:rFonts w:ascii="Aptos" w:cs="Aptos" w:eastAsia="Aptos" w:hAnsi="Aptos"/>
          <w:color w:val="181817"/>
          <w:sz w:val="22"/>
          <w:szCs w:val="22"/>
        </w:rPr>
        <w:t xml:space="preserve">On-time as virtue. Other time grammars are not rudeness.</w:t>
      </w:r>
    </w:p>
    <w:p>
      <w:pPr>
        <w:pStyle w:val="Heading3"/>
        <w:keepNext/>
        <w:spacing w:after="120" w:before="200"/>
      </w:pPr>
      <w:r>
        <w:rPr>
          <w:rFonts w:ascii="Aptos" w:cs="Aptos" w:eastAsia="Aptos" w:hAnsi="Aptos"/>
          <w:b/>
          <w:bCs/>
          <w:color w:val="003865"/>
          <w:sz w:val="24"/>
          <w:szCs w:val="24"/>
        </w:rPr>
        <w:t xml:space="preserve">Emotional restraint as professionalism</w:t>
      </w:r>
    </w:p>
    <w:p>
      <w:pPr>
        <w:spacing w:after="160" w:line="300"/>
      </w:pPr>
      <w:r>
        <w:rPr>
          <w:rFonts w:ascii="Aptos" w:cs="Aptos" w:eastAsia="Aptos" w:hAnsi="Aptos"/>
          <w:color w:val="181817"/>
          <w:sz w:val="22"/>
          <w:szCs w:val="22"/>
        </w:rPr>
        <w:t xml:space="preserve">Lutheran-civic work ethic as a story about the self. Distrust of “too much” difference in public. You work with these. You do not perform a lutefisk joke as the file.</w:t>
      </w:r>
    </w:p>
    <w:p>
      <w:pPr>
        <w:pStyle w:val="Heading3"/>
        <w:keepNext/>
        <w:spacing w:after="120" w:before="200"/>
      </w:pPr>
      <w:r>
        <w:rPr>
          <w:rFonts w:ascii="Aptos" w:cs="Aptos" w:eastAsia="Aptos" w:hAnsi="Aptos"/>
          <w:b/>
          <w:bCs/>
          <w:color w:val="003865"/>
          <w:sz w:val="24"/>
          <w:szCs w:val="24"/>
        </w:rPr>
        <w:t xml:space="preserve">Religion and Healing</w:t>
      </w:r>
    </w:p>
    <w:p>
      <w:pPr>
        <w:spacing w:after="160" w:line="300"/>
      </w:pPr>
      <w:r>
        <w:rPr>
          <w:rFonts w:ascii="Aptos" w:cs="Aptos" w:eastAsia="Aptos" w:hAnsi="Aptos"/>
          <w:color w:val="181817"/>
          <w:sz w:val="22"/>
          <w:szCs w:val="22"/>
        </w:rPr>
        <w:t xml:space="preserve">Lutheran, Catholic, evangelical, Jewish religious life — related to ethnicity here and not the same object.</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Open the religion track. Do not make the pastor the case plan unless they asked.</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Church geography is operations for some households. You still keep medical and legal time.</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Handshake. First names fast in some rooms, titles in others.</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Follow this room. Do not treat first-name speed as the professional standard for every household.</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“Have a good one” as close is this grammar. It is not universal warmth.</w:t>
      </w:r>
    </w:p>
    <w:p>
      <w:pPr>
        <w:pStyle w:val="Heading3"/>
        <w:keepNext/>
        <w:spacing w:after="120" w:before="200"/>
      </w:pPr>
      <w:r>
        <w:rPr>
          <w:rFonts w:ascii="Aptos" w:cs="Aptos" w:eastAsia="Aptos" w:hAnsi="Aptos"/>
          <w:b/>
          <w:bCs/>
          <w:color w:val="003865"/>
          <w:sz w:val="24"/>
          <w:szCs w:val="24"/>
        </w:rPr>
        <w:t xml:space="preserve">Naming</w:t>
      </w:r>
    </w:p>
    <w:p>
      <w:pPr>
        <w:spacing w:after="160" w:line="300"/>
      </w:pPr>
      <w:r>
        <w:rPr>
          <w:rFonts w:ascii="Aptos" w:cs="Aptos" w:eastAsia="Aptos" w:hAnsi="Aptos"/>
          <w:color w:val="181817"/>
          <w:sz w:val="22"/>
          <w:szCs w:val="22"/>
        </w:rPr>
        <w:t xml:space="preserve">First-middle-last as if nature.</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Patronymics, two surnames, clan names, three-part Somali names hit this form as error. The form that only fits Mary Jones is a gate built inside this culture.</w:t>
      </w:r>
    </w:p>
    <w:p>
      <w:pPr>
        <w:pStyle w:val="Heading3"/>
        <w:keepNext/>
        <w:spacing w:after="120" w:before="200"/>
      </w:pPr>
      <w:r>
        <w:rPr>
          <w:rFonts w:ascii="Aptos" w:cs="Aptos" w:eastAsia="Aptos" w:hAnsi="Aptos"/>
          <w:b/>
          <w:bCs/>
          <w:color w:val="003865"/>
          <w:sz w:val="24"/>
          <w:szCs w:val="24"/>
        </w:rPr>
        <w:t xml:space="preserve">Dates and Calendar</w:t>
      </w:r>
    </w:p>
    <w:p>
      <w:pPr>
        <w:spacing w:after="160" w:line="300"/>
      </w:pPr>
      <w:r>
        <w:rPr>
          <w:rFonts w:ascii="Aptos" w:cs="Aptos" w:eastAsia="Aptos" w:hAnsi="Aptos"/>
          <w:color w:val="181817"/>
          <w:sz w:val="22"/>
          <w:szCs w:val="22"/>
        </w:rPr>
        <w:t xml:space="preserve">Christmas, Lent, hunting open, school sports.</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Other calendars still have to fit. A calendar click is literacy. It is not engagement.</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On time as moral. Don’t make a scene. Coffee.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Follow this room. Do not mock the casserole.</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Keep medical and legal time. Do not punish a household whose time grammar is different and call it professionalism.</w:t>
      </w:r>
    </w:p>
    <w:p>
      <w:pPr>
        <w:pStyle w:val="Heading3"/>
        <w:keepNext/>
        <w:spacing w:after="120" w:before="200"/>
      </w:pPr>
      <w:r>
        <w:rPr>
          <w:rFonts w:ascii="Aptos" w:cs="Aptos" w:eastAsia="Aptos" w:hAnsi="Aptos"/>
          <w:b/>
          <w:bCs/>
          <w:color w:val="003865"/>
          <w:sz w:val="24"/>
          <w:szCs w:val="24"/>
        </w:rPr>
        <w:t xml:space="preserve">Communication</w:t>
      </w:r>
    </w:p>
    <w:p>
      <w:pPr>
        <w:spacing w:after="160" w:line="300"/>
      </w:pPr>
      <w:r>
        <w:rPr>
          <w:rFonts w:ascii="Aptos" w:cs="Aptos" w:eastAsia="Aptos" w:hAnsi="Aptos"/>
          <w:color w:val="181817"/>
          <w:sz w:val="22"/>
          <w:szCs w:val="22"/>
        </w:rPr>
        <w:t xml:space="preserve">Indirect no. Understatement. Email as the real meeting.</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Do not correct AAVE as broken English. Directness from another culture is not rudeness. Indirectness here is not consent.</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LGBTQ people in these streams. Church climates vary by synod and parish.</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Use the name. Do not out someone to a congregation as culture.</w:t>
      </w:r>
    </w:p>
    <w:p>
      <w:pPr>
        <w:pStyle w:val="Heading3"/>
        <w:keepNext/>
        <w:spacing w:after="120" w:before="200"/>
      </w:pPr>
      <w:r>
        <w:rPr>
          <w:rFonts w:ascii="Aptos" w:cs="Aptos" w:eastAsia="Aptos" w:hAnsi="Aptos"/>
          <w:b/>
          <w:bCs/>
          <w:color w:val="003865"/>
          <w:sz w:val="24"/>
          <w:szCs w:val="24"/>
        </w:rPr>
        <w:t xml:space="preserve">Hair and Dress</w:t>
      </w:r>
    </w:p>
    <w:p>
      <w:pPr>
        <w:spacing w:after="160" w:line="300"/>
      </w:pPr>
      <w:r>
        <w:rPr>
          <w:rFonts w:ascii="Aptos" w:cs="Aptos" w:eastAsia="Aptos" w:hAnsi="Aptos"/>
          <w:color w:val="181817"/>
          <w:sz w:val="22"/>
          <w:szCs w:val="22"/>
        </w:rPr>
        <w:t xml:space="preserve">Unmarked “professional” hair was built here. CROWN Act still applies to others in the same building.</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Do not police. Do not treat unmarked as neutral.</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Choral, country, hymn, metal, Prince as Minnesota whether the room knows it or not.</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Do not make lutefisk the file.</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Hockey, hunting, Friday night, youth sport as civic in some towns. Not a personality.</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Do not assume the kid plays. Do not make sport the civic test.</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A written public. Newspapers. Church. This is not a people without letters. Neither is anyone else on this spine.</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See the form as culture.</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Civic art, church art, state fair, contemporary work.</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A festival is not consultation.</w:t>
      </w:r>
    </w:p>
    <w:p>
      <w:pPr>
        <w:pStyle w:val="Heading3"/>
        <w:keepNext/>
        <w:spacing w:after="120" w:before="200"/>
      </w:pPr>
      <w:r>
        <w:rPr>
          <w:rFonts w:ascii="Aptos" w:cs="Aptos" w:eastAsia="Aptos" w:hAnsi="Aptos"/>
          <w:b/>
          <w:bCs/>
          <w:color w:val="003865"/>
          <w:sz w:val="24"/>
          <w:szCs w:val="24"/>
        </w:rPr>
        <w:t xml:space="preserve">Diaspora and Adjacent</w:t>
      </w:r>
    </w:p>
    <w:p>
      <w:pPr>
        <w:spacing w:after="160" w:line="300"/>
      </w:pPr>
      <w:r>
        <w:rPr>
          <w:rFonts w:ascii="Aptos" w:cs="Aptos" w:eastAsia="Aptos" w:hAnsi="Aptos"/>
          <w:color w:val="181817"/>
          <w:sz w:val="22"/>
          <w:szCs w:val="22"/>
        </w:rPr>
        <w:t xml:space="preserve">Not one white people.</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Open the people brief that matches the household if they are not this. Do not use this door to skip Somali or the eleven nations.</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Public school as civic religion in many towns. College as class story.</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English-only IEP is still a gate for someone else’s parent. Do not treat a degree as the only intelligence.</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Class inside these streams. Iron Range is not Edina.</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Racism as structure, not a both-sides placement-rate argument. If you leave saying the placement rate is just culture, you have left this door. If you leave saying white people have no culture worth studying, you have also left this door.</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No invented “white health” rate as a personality.</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Rural hospital facts belong on the rural page. Date what you cite. Believe reported pain for everyone.</w:t>
      </w:r>
    </w:p>
    <w:p>
      <w:pPr>
        <w:pStyle w:val="Heading3"/>
        <w:keepNext/>
        <w:spacing w:after="120" w:before="200"/>
      </w:pPr>
      <w:r>
        <w:rPr>
          <w:rFonts w:ascii="Aptos" w:cs="Aptos" w:eastAsia="Aptos" w:hAnsi="Aptos"/>
          <w:b/>
          <w:bCs/>
          <w:color w:val="003865"/>
          <w:sz w:val="24"/>
          <w:szCs w:val="24"/>
        </w:rPr>
        <w:t xml:space="preserve">Business and Work</w:t>
      </w:r>
    </w:p>
    <w:p>
      <w:pPr>
        <w:spacing w:after="160" w:line="300"/>
      </w:pPr>
      <w:r>
        <w:rPr>
          <w:rFonts w:ascii="Aptos" w:cs="Aptos" w:eastAsia="Aptos" w:hAnsi="Aptos"/>
          <w:color w:val="181817"/>
          <w:sz w:val="22"/>
          <w:szCs w:val="22"/>
        </w:rPr>
        <w:t xml:space="preserve">Farm, cooperative, civic club, corporation, public employment, union Iron Range. Not one economy.</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Staff of color still have to navigate this unmarked system to get a form through.</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Identity is not a staffing plan. This unmarked system is still the system.</w:t>
      </w:r>
    </w:p>
    <w:p>
      <w:pPr>
        <w:pStyle w:val="Heading3"/>
        <w:keepNext/>
        <w:spacing w:after="120" w:before="200"/>
      </w:pPr>
      <w:r>
        <w:rPr>
          <w:rFonts w:ascii="Aptos" w:cs="Aptos" w:eastAsia="Aptos" w:hAnsi="Aptos"/>
          <w:b/>
          <w:bCs/>
          <w:color w:val="003865"/>
          <w:sz w:val="24"/>
          <w:szCs w:val="24"/>
        </w:rPr>
        <w:t xml:space="preserve">Healthcare Encounters</w:t>
      </w:r>
    </w:p>
    <w:p>
      <w:pPr>
        <w:spacing w:after="160" w:line="300"/>
      </w:pPr>
      <w:r>
        <w:rPr>
          <w:rFonts w:ascii="Aptos" w:cs="Aptos" w:eastAsia="Aptos" w:hAnsi="Aptos"/>
          <w:color w:val="181817"/>
          <w:sz w:val="22"/>
          <w:szCs w:val="22"/>
        </w:rPr>
        <w:t xml:space="preserve">Default English, default on-time, default nuclear. Clinic built as if this were nature.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See it. Do not mock it.</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Do not let it write the cap.</w:t>
      </w:r>
    </w:p>
    <w:p>
      <w:pPr>
        <w:pStyle w:val="Heading3"/>
        <w:keepNext/>
        <w:spacing w:after="120" w:before="200"/>
      </w:pPr>
      <w:r>
        <w:rPr>
          <w:rFonts w:ascii="Aptos" w:cs="Aptos" w:eastAsia="Aptos" w:hAnsi="Aptos"/>
          <w:b/>
          <w:bCs/>
          <w:color w:val="003865"/>
          <w:sz w:val="24"/>
          <w:szCs w:val="24"/>
        </w:rPr>
        <w:t xml:space="preserve">Statistics</w:t>
      </w:r>
    </w:p>
    <w:p>
      <w:pPr>
        <w:spacing w:after="160" w:line="300"/>
      </w:pPr>
      <w:r>
        <w:rPr>
          <w:rFonts w:ascii="Aptos" w:cs="Aptos" w:eastAsia="Aptos" w:hAnsi="Aptos"/>
          <w:color w:val="181817"/>
          <w:sz w:val="22"/>
          <w:szCs w:val="22"/>
        </w:rPr>
        <w:t xml:space="preserve">Minnesota State Demographic Center, 2018 ACS ancestry: German about 1,801,700; Norwegian 810,300; Irish 516,500; Swedish 429,800; English 290,200; Polish 248,000. Date 2018. Overlap is the point.</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People could report more than one. Star Tribune 2020: about 55 percent reported German ancestors, about 45 percent Norway/Denmark/Sweden — overlap is the point.</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rate is not the person. Not one white people.</w:t>
      </w:r>
    </w:p>
    <w:p>
      <w:pPr>
        <w:pStyle w:val="Heading3"/>
        <w:keepNext/>
        <w:spacing w:after="120" w:before="200"/>
      </w:pPr>
      <w:r>
        <w:rPr>
          <w:rFonts w:ascii="Aptos" w:cs="Aptos" w:eastAsia="Aptos" w:hAnsi="Aptos"/>
          <w:b/>
          <w:bCs/>
          <w:color w:val="003865"/>
          <w:sz w:val="24"/>
          <w:szCs w:val="24"/>
        </w:rPr>
        <w:t xml:space="preserve">Resources</w:t>
      </w:r>
    </w:p>
    <w:p>
      <w:pPr>
        <w:spacing w:after="160" w:line="300"/>
      </w:pPr>
      <w:r>
        <w:rPr>
          <w:rFonts w:ascii="Aptos" w:cs="Aptos" w:eastAsia="Aptos" w:hAnsi="Aptos"/>
          <w:color w:val="181817"/>
          <w:sz w:val="22"/>
          <w:szCs w:val="22"/>
        </w:rPr>
        <w:t xml:space="preserve">Minnesota State Demographic Center ancestry tables. Star Tribune 2020 overlap reporting. Religion track. Rural place brief. The eleven.</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Open the stream this household names.</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recentralize the room.</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360° does not cancel the record. It explains how a majority-white Minimization institution keeps reproducing the same gates while calling it professionalism.</w:t>
      </w:r>
    </w:p>
    <w:p>
      <w:pPr>
        <w:spacing w:after="160" w:line="300"/>
      </w:pPr>
      <w:r>
        <w:rPr>
          <w:rFonts w:ascii="Aptos" w:cs="Aptos" w:eastAsia="Aptos" w:hAnsi="Aptos"/>
          <w:color w:val="181817"/>
          <w:sz w:val="22"/>
          <w:szCs w:val="22"/>
        </w:rPr>
        <w:t xml:space="preserve">People of color learning this culture is not extra emotional labor for white comfort. It is how you legislate, supervise, and survive the building without confusing it with nature.</w:t>
      </w:r>
    </w:p>
    <w:p>
      <w:pPr>
        <w:spacing w:after="160" w:line="300"/>
      </w:pPr>
      <w:r>
        <w:rPr>
          <w:rFonts w:ascii="Aptos" w:cs="Aptos" w:eastAsia="Aptos" w:hAnsi="Aptos"/>
          <w:color w:val="181817"/>
          <w:sz w:val="22"/>
          <w:szCs w:val="22"/>
        </w:rPr>
        <w:t xml:space="preserve">If you leave saying “see, everyone has culture, so the placement rate is just culture,” this failed. If you leave saying “white people have no culture worth studying,” this also failed.</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American Minnesota</dc:title>
  <dc:creator>One DHS People, Access and Culture</dc:creator>
  <dc:description>This page is European American cultural intelligence in Minnesota — historic cultures, not a “white people” mash. Norwegian Lutheran farm culture, German civic order, Irish Catholic St. Paul, Iron Range, Yankee New England, and later European streams are not one module. That mash is the same error we refused for Black and Asian.</dc:description>
  <cp:lastModifiedBy>Un-named</cp:lastModifiedBy>
  <cp:revision>1</cp:revision>
  <dcterms:created xsi:type="dcterms:W3CDTF">2026-10-05T00:44:28.799Z</dcterms:created>
  <dcterms:modified xsi:type="dcterms:W3CDTF">2026-10-05T00:44:28.799Z</dcterms:modified>
</cp:coreProperties>
</file>

<file path=docProps/custom.xml><?xml version="1.0" encoding="utf-8"?>
<Properties xmlns="http://schemas.openxmlformats.org/officeDocument/2006/custom-properties" xmlns:vt="http://schemas.openxmlformats.org/officeDocument/2006/docPropsVTypes"/>
</file>