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Amharic-speaking Minnesota</w:t>
      </w:r>
    </w:p>
    <w:p>
      <w:pPr>
        <w:spacing w:after="160"/>
      </w:pPr>
      <w:r>
        <w:rPr>
          <w:rFonts w:ascii="Aptos" w:cs="Aptos" w:eastAsia="Aptos" w:hAnsi="Aptos"/>
          <w:i/>
          <w:iCs/>
          <w:color w:val="353532"/>
          <w:sz w:val="23"/>
          <w:szCs w:val="23"/>
        </w:rPr>
        <w:t xml:space="preserve">This brief is about Amharic-speaking Minnesota — Amhara households and other households that use Amharic as a first or working language — as a people-page. Amharic is on the CLAS fifteen interpreter cards. That is operations. It is not a census of who is Ethiopian, and it is not permission to treat Ethiopia as one people.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Amhara peoplehood and Amharic as a written language are older than the refugee file and older than 1974. Highland agricultural life, Ethiopian imperial history, the Orthodox Tewahedo Church, and Ge’ez as liturgical language organized a state that was not a European colony in the way the Somali and Karen files were. That fact is literacy. It is not a rank you give the family, and it is not a reason to skip language access.</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Amharic became the court and then the federal working language. That is why a non-Amhara Ethiopian may speak it and still not be this people-page as a first identity. Empire’s second language in a Minnesota home is a Tuesday question: which language does this elder actually use for a legal notice?</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1974 ended the empire. The Derg, the Red Terror, the 1980s famine, and 1991 are the foundational political events of much of the Minnesota first wave. The 2020–2022 war in Tigray is current structure for some households — Tigrayan, Amhara, Eritrean-adjacent, and others. Do not referee it in a waiver meeting.</w:t>
      </w:r>
    </w:p>
    <w:p>
      <w:pPr>
        <w:spacing w:after="160" w:line="300"/>
      </w:pPr>
      <w:r>
        <w:rPr>
          <w:rFonts w:ascii="Aptos" w:cs="Aptos" w:eastAsia="Aptos" w:hAnsi="Aptos"/>
          <w:color w:val="181817"/>
          <w:sz w:val="22"/>
          <w:szCs w:val="22"/>
        </w:rPr>
        <w:t xml:space="preserve">What people brought: Amharic and fidel, Orthodox fasting and Protestant and Muslim streams, kin obligation, injera as ordinary food, honorifics, a memory of state violence. What they met in Minnesota: an English form, one “Ethiopian” checkbox, and often one interpreter who was Somali or Oromo because the building mashed the Horn.</w:t>
      </w:r>
    </w:p>
    <w:p>
      <w:pPr>
        <w:pStyle w:val="Heading3"/>
        <w:keepNext/>
        <w:spacing w:after="120" w:before="200"/>
      </w:pPr>
      <w:r>
        <w:rPr>
          <w:rFonts w:ascii="Aptos" w:cs="Aptos" w:eastAsia="Aptos" w:hAnsi="Aptos"/>
          <w:b/>
          <w:bCs/>
          <w:color w:val="003865"/>
          <w:sz w:val="24"/>
          <w:szCs w:val="24"/>
        </w:rPr>
        <w:t xml:space="preserve">The Geography of the Amharic-speaking World</w:t>
      </w:r>
    </w:p>
    <w:p>
      <w:pPr>
        <w:spacing w:after="160" w:line="300"/>
      </w:pPr>
      <w:r>
        <w:rPr>
          <w:rFonts w:ascii="Aptos" w:cs="Aptos" w:eastAsia="Aptos" w:hAnsi="Aptos"/>
          <w:color w:val="181817"/>
          <w:sz w:val="22"/>
          <w:szCs w:val="22"/>
        </w:rPr>
        <w:t xml:space="preserve">Homeland is not one ethnic map. Amhara region, Addis Ababa, and a country where Amharic is heard in offices far from Amhara land. Tigray, Oromia, the south, and Eritrea are adjacent geographies with different languages. Do not draw one Ethiopia on a case note.</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The diaspora is global: Washington D.C. as a large U.S. hub, Los Angeles, Dallas, Toronto, the Gulf, Italy. Minnesota is a real community, not the U.S. capital of it. Secondary migration and church networks pulled people here.</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In Minnesota: Compass Ethiopian is 89.4 percent Twin Cities. Minneapolis parishes (Debre Selam Medhanealem Ethiopian Orthodox Tewahedo Church among them, Seward / Minnehaha). Inner-ring suburbs. Greater Minnesota — including Worthington, where Ethiopian Orthodox life is public — is 10.6 percent of the Compass Ethiopian umbrella. Do not assume Cedar-Riverside. That hub is Somali. Do not assume the person in front of you has been to Addis.</w:t>
      </w:r>
    </w:p>
    <w:p>
      <w:pPr>
        <w:pStyle w:val="Heading3"/>
        <w:keepNext/>
        <w:spacing w:after="120" w:before="200"/>
      </w:pPr>
      <w:r>
        <w:rPr>
          <w:rFonts w:ascii="Aptos" w:cs="Aptos" w:eastAsia="Aptos" w:hAnsi="Aptos"/>
          <w:b/>
          <w:bCs/>
          <w:color w:val="003865"/>
          <w:sz w:val="24"/>
          <w:szCs w:val="24"/>
        </w:rPr>
        <w:t xml:space="preserve">Minnesota and Amharic-speaking History</w:t>
      </w:r>
    </w:p>
    <w:p>
      <w:pPr>
        <w:spacing w:after="160" w:line="300"/>
      </w:pPr>
      <w:r>
        <w:rPr>
          <w:rFonts w:ascii="Aptos" w:cs="Aptos" w:eastAsia="Aptos" w:hAnsi="Aptos"/>
          <w:color w:val="181817"/>
          <w:sz w:val="22"/>
          <w:szCs w:val="22"/>
        </w:rPr>
        <w:t xml:space="preserve">Amharic-speaking Minnesota is why this page has to be as complete as Somali and Hmong — because this department will meet this community on waivers, child welfare, health care, cash, food, aging, and employment, and because the building has a long habit of hearing “East African” and booking Somali.</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Places, not a blob: Minneapolis parishes; inner-ring suburbs; Worthington and other Greater Minnesota towns where Orthodox liturgy is public; not Cedar-Riverside as the default. Compass Ethiopian: about nine in ten in the Twin Cities.</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Partners: Orthodox parishes families name (Debre Selam Medhanealem among them); Protestant congregations; Ethiopian Community in Minnesota as historical local door; Ethiopian Community Development Council affiliates; SOS Amharic voter tools as proof the state already knew this language; CECLC as a department door — not the whole community.</w:t>
      </w:r>
    </w:p>
    <w:p>
      <w:pPr>
        <w:spacing w:after="160" w:line="300"/>
      </w:pPr>
      <w:r>
        <w:rPr>
          <w:rFonts w:ascii="Aptos" w:cs="Aptos" w:eastAsia="Aptos" w:hAnsi="Aptos"/>
          <w:color w:val="181817"/>
          <w:sz w:val="22"/>
          <w:szCs w:val="22"/>
        </w:rPr>
        <w:t xml:space="preserve">Amharic-speaking staff are not unpaid interpreters and not the community. Identity is not a staffing plan. A Timkat visit is optional professional development.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Amharic-speaking Minnesota — Amhara households and other households that use Amharic as a first or working language — as a people-page. Amharic is on the CLAS fifteen interpreter cards. That is operations. It is not a census of who is Ethiopian, and it is not permission to treat Ethiopia as one people.</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Amharic is not Oromo. Amharic is not Somali. Amharic is not Tigrinya. Amharic is a federal working language of Ethiopia. Many non-Amhara Ethiopians speak it as a second language of school, army, and office. If the household is Oromo, open Oromo and book Afaan Oromoo. If Tigrayan, book Tigrinya. If Somali — including people born in Ethiopia who name Somali ancestry — open Somali Minnesota. Compass counts those last households as Somali, not Ethiopian. Shared Horn is not shared culture. Shared Orthodox calendar is not shared politics.</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Minnesota Compass Ethiopian (ACS 2019–2023) is 40,324. About 89.4 percent Twin Cities, 10.6 percent Greater Minnesota. About 43.5 percent age 17 or younger. Foreign-born 61.7 percent. Language other than English (age 5+) 74.9 percent; English less than “very well” 30.4 percent. Median household income about $57,106 (2022 dollars, averaged). Poverty 13.0 percent. Renter 65.3 percent. Date the number. It is an umbrella. Census recodes some people who write Oromo into Ethiopian. It is not an Amharic speaker count. Minnesota Secretary of State voter materials include Amharic. Do not invent a population.</w:t>
      </w:r>
    </w:p>
    <w:p>
      <w:pPr>
        <w:spacing w:after="160" w:line="300"/>
      </w:pPr>
      <w:r>
        <w:rPr>
          <w:rFonts w:ascii="Aptos" w:cs="Aptos" w:eastAsia="Aptos" w:hAnsi="Aptos"/>
          <w:color w:val="181817"/>
          <w:sz w:val="22"/>
          <w:szCs w:val="22"/>
        </w:rPr>
        <w:t xml:space="preserve">The diversity inside this door is the point. An Amhara Orthodox grandmother who fasts more days than the clinic has slots, a Protestant professional, a Muslim Ethiopian household, a person who uses Amharic at work and Oromo at home, a U.S.-born student who uses English with friends and Amharic with an elder, a Tigrayan family who should not have been booked here — share a language door and do not share a Tuesday.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1974, the Derg, Famine, and Tigray — Foundational Events</w:t>
      </w:r>
    </w:p>
    <w:p>
      <w:pPr>
        <w:spacing w:after="160" w:line="300"/>
      </w:pPr>
      <w:r>
        <w:rPr>
          <w:rFonts w:ascii="Aptos" w:cs="Aptos" w:eastAsia="Aptos" w:hAnsi="Aptos"/>
          <w:color w:val="181817"/>
          <w:sz w:val="22"/>
          <w:szCs w:val="22"/>
        </w:rPr>
        <w:t xml:space="preserve">If 1991 is Somali Minnesota’s foundational political event, 1974 and what followed is the foundational event of much of Amharic-speaking Minnesota’s first wave.</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The revolution overthrew Haile Selassie. The Derg and the Red Terror killed and scattered people. The 1980s famine and resettlement brought some of the first African refugees Minnesota named as Ethiopian — MSP Magazine: Minnesota admitted 17 refugees from Ethiopia in 1982, the first African refugees in the state’s telling of that file. Others came through Sudan, Kenya, Europe. 1991 ended the Derg and opened another politics. Family reunification and later diversity streams followed.</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2020–2022 war in Tigray is current structure. Some Minnesota households are living it through kin, remittance, silence, or politics in the parish parking lot. Do not referee. Do not pick a side. Do not make a waiver meeting a map of the front.</w:t>
      </w:r>
    </w:p>
    <w:p>
      <w:pPr>
        <w:spacing w:after="160" w:line="300"/>
      </w:pPr>
      <w:r>
        <w:rPr>
          <w:rFonts w:ascii="Aptos" w:cs="Aptos" w:eastAsia="Aptos" w:hAnsi="Aptos"/>
          <w:color w:val="181817"/>
          <w:sz w:val="22"/>
          <w:szCs w:val="22"/>
        </w:rPr>
        <w:t xml:space="preserve">The desk in 2026 also meets U.S.-born children — English with peers, still translating, still unable to get Amharic (or the actual home language) in the lobby. If you only know “Ethiopian,” you will miss the Oromo mother and the Tigrayan elder you booked wrong.</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Family is larger than a nuclear English form. Elders often speak first. Godparent and kin ties, adult children in the same week as a waiver, and a grandmother who is the childcare. Compass Ethiopian average household size 3.09 — umbrella, dated, smaller than some other Compass communities, still not Mary Jones.</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Who cares for the child may not match the checkbox. Hour caps and “natural supports” can dump unpaid work onto women in that network and call it culture.</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Naming is already a who: given name plus father’s name, often no surname. The database that invents a last name invents a kinship the family did not file.</w:t>
      </w:r>
    </w:p>
    <w:p>
      <w:pPr>
        <w:spacing w:after="160" w:line="300"/>
      </w:pPr>
      <w:r>
        <w:rPr>
          <w:rFonts w:ascii="Aptos" w:cs="Aptos" w:eastAsia="Aptos" w:hAnsi="Aptos"/>
          <w:color w:val="181817"/>
          <w:sz w:val="22"/>
          <w:szCs w:val="22"/>
        </w:rPr>
        <w:t xml:space="preserve">Ask who should be in the room. Do not skip mandated reporting and call it respect for elders. Minnesota law still stands.</w:t>
      </w:r>
    </w:p>
    <w:p>
      <w:pPr>
        <w:pStyle w:val="Heading3"/>
        <w:keepNext/>
        <w:spacing w:after="120" w:before="200"/>
      </w:pPr>
      <w:r>
        <w:rPr>
          <w:rFonts w:ascii="Aptos" w:cs="Aptos" w:eastAsia="Aptos" w:hAnsi="Aptos"/>
          <w:b/>
          <w:bCs/>
          <w:color w:val="003865"/>
          <w:sz w:val="24"/>
          <w:szCs w:val="24"/>
        </w:rPr>
        <w:t xml:space="preserve">Amharic-speaking Minnesota — the heart of a people</w:t>
      </w:r>
    </w:p>
    <w:p>
      <w:pPr>
        <w:spacing w:after="160" w:line="300"/>
      </w:pPr>
      <w:r>
        <w:rPr>
          <w:rFonts w:ascii="Aptos" w:cs="Aptos" w:eastAsia="Aptos" w:hAnsi="Aptos"/>
          <w:color w:val="181817"/>
          <w:sz w:val="22"/>
          <w:szCs w:val="22"/>
        </w:rPr>
        <w:t xml:space="preserve">To speak Amharic in Minnesota is sometimes to be Amhara, and sometimes to be a person the empire taught a second language. Both sit in this door. Ethiopian Orthodox Tewahedo is central for many Amhara. Protestant and Muslim Ethiopian streams are real. Intra-Ethiopian politics — Amhara, Oromo, Tigrayan — live in Minnesota parking lots. You do not pick a side.</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In this building another fact sits on top: many of these households are Black in a U.S. racial order that will file them under Somali or under historic African American and get the language, the church, and the name wrong. Shared race is not shared culture.</w:t>
      </w:r>
    </w:p>
    <w:p>
      <w:pPr>
        <w:spacing w:after="160" w:line="300"/>
      </w:pPr>
      <w:r>
        <w:rPr>
          <w:rFonts w:ascii="Aptos" w:cs="Aptos" w:eastAsia="Aptos" w:hAnsi="Aptos"/>
          <w:color w:val="181817"/>
          <w:sz w:val="22"/>
          <w:szCs w:val="22"/>
        </w:rPr>
        <w:t xml:space="preserve">This guide is a working orientation. Individual variation always supersedes group generalization.</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Language first. Confirm whether Amharic is the home language or the working language. Afaan Oromoo and Tigrinya are not dialects of Amharic.</w:t>
      </w:r>
    </w:p>
    <w:p>
      <w:pPr>
        <w:pStyle w:val="Heading3"/>
        <w:keepNext/>
        <w:spacing w:after="120" w:before="200"/>
      </w:pPr>
      <w:r>
        <w:rPr>
          <w:rFonts w:ascii="Aptos" w:cs="Aptos" w:eastAsia="Aptos" w:hAnsi="Aptos"/>
          <w:b/>
          <w:bCs/>
          <w:color w:val="003865"/>
          <w:sz w:val="24"/>
          <w:szCs w:val="24"/>
        </w:rPr>
        <w:t xml:space="preserve">Orthodox fasting and calendar</w:t>
      </w:r>
    </w:p>
    <w:p>
      <w:pPr>
        <w:spacing w:after="160" w:line="300"/>
      </w:pPr>
      <w:r>
        <w:rPr>
          <w:rFonts w:ascii="Aptos" w:cs="Aptos" w:eastAsia="Aptos" w:hAnsi="Aptos"/>
          <w:color w:val="181817"/>
          <w:sz w:val="22"/>
          <w:szCs w:val="22"/>
        </w:rPr>
        <w:t xml:space="preserve">Many fast days — weekly Wednesday and Friday for some, long Lenten and Advent fasts, other seasons. This is operations for appointments, blood draws, and medication with food. It is not a piety rank.</w:t>
      </w:r>
    </w:p>
    <w:p>
      <w:pPr>
        <w:pStyle w:val="Heading3"/>
        <w:keepNext/>
        <w:spacing w:after="120" w:before="200"/>
      </w:pPr>
      <w:r>
        <w:rPr>
          <w:rFonts w:ascii="Aptos" w:cs="Aptos" w:eastAsia="Aptos" w:hAnsi="Aptos"/>
          <w:b/>
          <w:bCs/>
          <w:color w:val="003865"/>
          <w:sz w:val="24"/>
          <w:szCs w:val="24"/>
        </w:rPr>
        <w:t xml:space="preserve">Honorifics</w:t>
      </w:r>
    </w:p>
    <w:p>
      <w:pPr>
        <w:spacing w:after="160" w:line="300"/>
      </w:pPr>
      <w:r>
        <w:rPr>
          <w:rFonts w:ascii="Aptos" w:cs="Aptos" w:eastAsia="Aptos" w:hAnsi="Aptos"/>
          <w:color w:val="181817"/>
          <w:sz w:val="22"/>
          <w:szCs w:val="22"/>
        </w:rPr>
        <w:t xml:space="preserve">Ato (Mr.), Weizero (Mrs.), Weizerit (Miss). Church titles. Elders.</w:t>
      </w:r>
    </w:p>
    <w:p>
      <w:pPr>
        <w:pStyle w:val="Heading3"/>
        <w:keepNext/>
        <w:spacing w:after="120" w:before="200"/>
      </w:pPr>
      <w:r>
        <w:rPr>
          <w:rFonts w:ascii="Aptos" w:cs="Aptos" w:eastAsia="Aptos" w:hAnsi="Aptos"/>
          <w:b/>
          <w:bCs/>
          <w:color w:val="003865"/>
          <w:sz w:val="24"/>
          <w:szCs w:val="24"/>
        </w:rPr>
        <w:t xml:space="preserve">Three names</w:t>
      </w:r>
    </w:p>
    <w:p>
      <w:pPr>
        <w:spacing w:after="160" w:line="300"/>
      </w:pPr>
      <w:r>
        <w:rPr>
          <w:rFonts w:ascii="Aptos" w:cs="Aptos" w:eastAsia="Aptos" w:hAnsi="Aptos"/>
          <w:color w:val="181817"/>
          <w:sz w:val="22"/>
          <w:szCs w:val="22"/>
        </w:rPr>
        <w:t xml:space="preserve">Given name, father’s name, often grandfather’s. No family surname as the database wants. Same trap as Somali. Different grammar. Do not invent a last name.</w:t>
      </w:r>
    </w:p>
    <w:p>
      <w:pPr>
        <w:pStyle w:val="Heading3"/>
        <w:keepNext/>
        <w:spacing w:after="120" w:before="200"/>
      </w:pPr>
      <w:r>
        <w:rPr>
          <w:rFonts w:ascii="Aptos" w:cs="Aptos" w:eastAsia="Aptos" w:hAnsi="Aptos"/>
          <w:b/>
          <w:bCs/>
          <w:color w:val="003865"/>
          <w:sz w:val="24"/>
          <w:szCs w:val="24"/>
        </w:rPr>
        <w:t xml:space="preserve">Elders and face</w:t>
      </w:r>
    </w:p>
    <w:p>
      <w:pPr>
        <w:spacing w:after="160" w:line="300"/>
      </w:pPr>
      <w:r>
        <w:rPr>
          <w:rFonts w:ascii="Aptos" w:cs="Aptos" w:eastAsia="Aptos" w:hAnsi="Aptos"/>
          <w:color w:val="181817"/>
          <w:sz w:val="22"/>
          <w:szCs w:val="22"/>
        </w:rPr>
        <w:t xml:space="preserve">Direct refusal may be costly. Ask whether they agree. Do not take a smile as consent.</w:t>
      </w:r>
    </w:p>
    <w:p>
      <w:pPr>
        <w:pStyle w:val="Heading3"/>
        <w:keepNext/>
        <w:spacing w:after="120" w:before="200"/>
      </w:pPr>
      <w:r>
        <w:rPr>
          <w:rFonts w:ascii="Aptos" w:cs="Aptos" w:eastAsia="Aptos" w:hAnsi="Aptos"/>
          <w:b/>
          <w:bCs/>
          <w:color w:val="003865"/>
          <w:sz w:val="24"/>
          <w:szCs w:val="24"/>
        </w:rPr>
        <w:t xml:space="preserve">Injera, coffee ceremony, parish</w:t>
      </w:r>
    </w:p>
    <w:p>
      <w:pPr>
        <w:spacing w:after="160" w:line="300"/>
      </w:pPr>
      <w:r>
        <w:rPr>
          <w:rFonts w:ascii="Aptos" w:cs="Aptos" w:eastAsia="Aptos" w:hAnsi="Aptos"/>
          <w:color w:val="181817"/>
          <w:sz w:val="22"/>
          <w:szCs w:val="22"/>
        </w:rPr>
        <w:t xml:space="preserve">Ordinary life, not a festival you attend as consultation.</w:t>
      </w:r>
    </w:p>
    <w:p>
      <w:pPr>
        <w:pStyle w:val="Heading3"/>
        <w:keepNext/>
        <w:spacing w:after="120" w:before="200"/>
      </w:pPr>
      <w:r>
        <w:rPr>
          <w:rFonts w:ascii="Aptos" w:cs="Aptos" w:eastAsia="Aptos" w:hAnsi="Aptos"/>
          <w:b/>
          <w:bCs/>
          <w:color w:val="003865"/>
          <w:sz w:val="24"/>
          <w:szCs w:val="24"/>
        </w:rPr>
        <w:t xml:space="preserve">Religion and Healing</w:t>
      </w:r>
    </w:p>
    <w:p>
      <w:pPr>
        <w:spacing w:after="160" w:line="300"/>
      </w:pPr>
      <w:r>
        <w:rPr>
          <w:rFonts w:ascii="Aptos" w:cs="Aptos" w:eastAsia="Aptos" w:hAnsi="Aptos"/>
          <w:color w:val="181817"/>
          <w:sz w:val="22"/>
          <w:szCs w:val="22"/>
        </w:rPr>
        <w:t xml:space="preserve">Ethiopian Orthodox Tewahedo is central for many Amhara households — one of the oldest Christian churches, Ge’ez liturgy, icons, fasting, Timkat, Meskel, Gena (January 7). Debtera and priest are church roles. They are not the case plan unless this family asked. Do not book a liturgy as DHS programming.</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Protestant and evangelical Ethiopian streams are large in the diaspora. Muslim Ethiopian streams exist — ask; book the language; do not copy Somali Islam onto this page; lunar Islamic dates if this family is Muslim.</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Fasting calendars are operations. A missed morning appointment during a fast, a medication labeled “with food,” a blood draw — ask. Noncompliance may be the calendar you never learned.</w:t>
      </w:r>
    </w:p>
    <w:p>
      <w:pPr>
        <w:spacing w:after="160" w:line="300"/>
      </w:pPr>
      <w:r>
        <w:rPr>
          <w:rFonts w:ascii="Aptos" w:cs="Aptos" w:eastAsia="Aptos" w:hAnsi="Aptos"/>
          <w:color w:val="181817"/>
          <w:sz w:val="22"/>
          <w:szCs w:val="22"/>
        </w:rPr>
        <w:t xml:space="preserve">Illness meaning may sit next to holy water, vow, and parish counsel. You can hold that next to a waiver. You do not mock it. You do not skip the clinic.</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Elders first. Ato, Weizero, Weizerit plus the given name until invited otherwise. Church titles for a priest. Say the name. Ask how to say it.</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Shoulder bumps and cheek kisses (often two or three) happen in some rooms among people who already know each other. A hard American handshake is not universal. Some people will shake in English-language offices. Follow this room. Do not force a hand. Do not copy Somali right-hand-across-gender rules blindly — and do not assume they do not apply. Ask the room.</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Selam, tenastëllïn, English hello — follow what they offer. Do not import the Black nod as default. This is not that grammar unless this person uses it.</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Often given name plus father’s given name. The second name is not a family surname as the database wants it. Children take the father’s given name as their second name. The grandfather’s name may appear as a third. Same trap as Somali, different grammar, different people. Do not invent a last name because the screen requires one. That invented name becomes a gate that follows the person to Medicaid, school, and a background check.</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Women do not automatically take a husband’s name. Ask how to file. Do not “correct” a mother and child who do not share a last name as fraud until you have a reason.</w:t>
      </w:r>
    </w:p>
    <w:p>
      <w:pPr>
        <w:spacing w:after="160" w:line="300"/>
      </w:pPr>
      <w:r>
        <w:rPr>
          <w:rFonts w:ascii="Aptos" w:cs="Aptos" w:eastAsia="Aptos" w:hAnsi="Aptos"/>
          <w:color w:val="181817"/>
          <w:sz w:val="22"/>
          <w:szCs w:val="22"/>
        </w:rPr>
        <w:t xml:space="preserve">Honorifics: Ato, Weizero, Weizerit. Use them. Pronounce the name. Ask. The form that demands first-middle-last and a hyphen will invent a person.</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Enkutatash — Ethiopian New Year, 11 September (12 September after a Gregorian leap year). Public and parish. Literacy. Not a day off the work unless they asked.</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Timkat (Epiphany, 19 January). Meskel (Finding of the True Cross, late September). Gena — Orthodox Christmas, 7 January. Fasika — Easter, on the Orthodox calculation. Fasting seasons before these, and weekly fasts for some. Operations.</w:t>
      </w:r>
    </w:p>
    <w:p>
      <w:pPr>
        <w:spacing w:after="160" w:line="300"/>
      </w:pPr>
      <w:r>
        <w:rPr>
          <w:rFonts w:ascii="Aptos" w:cs="Aptos" w:eastAsia="Aptos" w:hAnsi="Aptos"/>
          <w:color w:val="181817"/>
          <w:sz w:val="22"/>
          <w:szCs w:val="22"/>
        </w:rPr>
        <w:t xml:space="preserve">Lunar Islamic dates if this family is Muslim. Do not assume they are not.</w:t>
      </w:r>
    </w:p>
    <w:p>
      <w:pPr>
        <w:spacing w:after="160" w:line="300"/>
      </w:pPr>
      <w:r>
        <w:rPr>
          <w:rFonts w:ascii="Aptos" w:cs="Aptos" w:eastAsia="Aptos" w:hAnsi="Aptos"/>
          <w:color w:val="181817"/>
          <w:sz w:val="22"/>
          <w:szCs w:val="22"/>
        </w:rPr>
        <w:t xml:space="preserve">A calendar click is literacy. It is not community engagement. Do not put “African holiday” on a case note.</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Elders first. Shoes off in some homes. Right hand for food and for greeting in many rooms. Hospitality is a virtue — coffee, injera. Accept a little if offered. You still keep medical and legal time.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Do not photograph icons, the iconostasis, or a fasting table as tourism. Do not comment on fasting as a diet.</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Church time can run long. Sunday and feast-day mornings are operations. On-time for your appointment still matters. Name the conflict. Ask whether they agree with the plan. Confirm in the language they use.</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Amharic. Fidel (Ge’ez-derived script). Ge’ez is liturgical, not the interview language. Compass Ethiopian umbrella: among those 5 and older, about 74.9 percent speak a language other than English; about 30.4 percent speak English less than “very well.” Date it. It is not an Amharic-only LEP rate.</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An Oromo interpreter is the wrong door. A Somali interpreter is the wrong door. A Tigrinya interpreter is the wrong door unless they asked for Tigrinya. Confirm whether Amharic is first language or the empire’s second language in this home. Book what they name.</w:t>
      </w:r>
    </w:p>
    <w:p>
      <w:pPr>
        <w:spacing w:after="160" w:line="300"/>
      </w:pPr>
      <w:r>
        <w:rPr>
          <w:rFonts w:ascii="Aptos" w:cs="Aptos" w:eastAsia="Aptos" w:hAnsi="Aptos"/>
          <w:color w:val="181817"/>
          <w:sz w:val="22"/>
          <w:szCs w:val="22"/>
        </w:rPr>
        <w:t xml:space="preserve">A long answer may be story. A short English yes may be courtesy. Do not take a smile as consent. Ask whether they agree.</w:t>
      </w:r>
    </w:p>
    <w:p>
      <w:pPr>
        <w:spacing w:after="160" w:line="300"/>
      </w:pPr>
      <w:r>
        <w:rPr>
          <w:rFonts w:ascii="Aptos" w:cs="Aptos" w:eastAsia="Aptos" w:hAnsi="Aptos"/>
          <w:color w:val="181817"/>
          <w:sz w:val="22"/>
          <w:szCs w:val="22"/>
        </w:rPr>
        <w:t xml:space="preserve">Do not make an Amharic-speaking coworker the interpreter.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Amharic-speaking Minnesotans exist. Conservative Orthodox, Protestant, and Muslim climates can mean silence or exile. Some people live a public English life and a private Amharic life.</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You use the name they use. You do not out them to an elder as cultural humility. Minnesota’s Human Rights Act still applies.</w:t>
      </w:r>
    </w:p>
    <w:p>
      <w:pPr>
        <w:spacing w:after="160" w:line="300"/>
      </w:pPr>
      <w:r>
        <w:rPr>
          <w:rFonts w:ascii="Aptos" w:cs="Aptos" w:eastAsia="Aptos" w:hAnsi="Aptos"/>
          <w:color w:val="181817"/>
          <w:sz w:val="22"/>
          <w:szCs w:val="22"/>
        </w:rPr>
        <w:t xml:space="preserve">So does the duty not to treat a whole people as a family-values exhibit.</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Orthodox white netela or gabi in church is not a daily uniform. Second generation looks like Minnesota. Do not ask a woman in clinic whether she “still wears the shawl.”</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Hair, covering, and modest dress vary by Orthodox, Protestant, Muslim, and secular practice. Do not touch. This is not the CROWN Act chapter and not the Somali hijab chapter.</w:t>
      </w:r>
    </w:p>
    <w:p>
      <w:pPr>
        <w:spacing w:after="160" w:line="300"/>
      </w:pPr>
      <w:r>
        <w:rPr>
          <w:rFonts w:ascii="Aptos" w:cs="Aptos" w:eastAsia="Aptos" w:hAnsi="Aptos"/>
          <w:color w:val="181817"/>
          <w:sz w:val="22"/>
          <w:szCs w:val="22"/>
        </w:rPr>
        <w:t xml:space="preserve">Follow this person. Gender match if she wants it.</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Orthodox chant in Ge’ez, kebero drums, eskista as dance, Protestant worship music, diaspora pop.</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Liturgy is not staff entertainment. A playlist is not engagement.</w:t>
      </w:r>
    </w:p>
    <w:p>
      <w:pPr>
        <w:spacing w:after="160" w:line="300"/>
      </w:pPr>
      <w:r>
        <w:rPr>
          <w:rFonts w:ascii="Aptos" w:cs="Aptos" w:eastAsia="Aptos" w:hAnsi="Aptos"/>
          <w:color w:val="181817"/>
          <w:sz w:val="22"/>
          <w:szCs w:val="22"/>
        </w:rPr>
        <w:t xml:space="preserve">A Timkat procession is public; you are a guest.</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Distance running is a public image of Ethiopia. It is not a personality and not a health history.</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Soccer and ordinary school sport are real in the second generation. Sport clubs are not language access and not a case plan.</w:t>
      </w:r>
    </w:p>
    <w:p>
      <w:pPr>
        <w:spacing w:after="160" w:line="300"/>
      </w:pPr>
      <w:r>
        <w:rPr>
          <w:rFonts w:ascii="Aptos" w:cs="Aptos" w:eastAsia="Aptos" w:hAnsi="Aptos"/>
          <w:color w:val="181817"/>
          <w:sz w:val="22"/>
          <w:szCs w:val="22"/>
        </w:rPr>
        <w:t xml:space="preserve">Do not assume the kid runs.</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Ge’ez and Amharic written tradition is old — older than the refugee file. Fidel made a public possible. Newspapers, church texts, diaspora writers, second-generation English.</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You do not need to quote a novel. You need to know this is not a people without letters.</w:t>
      </w:r>
    </w:p>
    <w:p>
      <w:pPr>
        <w:spacing w:after="160" w:line="300"/>
      </w:pPr>
      <w:r>
        <w:rPr>
          <w:rFonts w:ascii="Aptos" w:cs="Aptos" w:eastAsia="Aptos" w:hAnsi="Aptos"/>
          <w:color w:val="181817"/>
          <w:sz w:val="22"/>
          <w:szCs w:val="22"/>
        </w:rPr>
        <w:t xml:space="preserve">The English form may still be unreadable to the parent who reads fidel.</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Orthodox iconography, textile, church architecture, injera as ordinary table not a Heritage Month sample. Parish as public art for some.</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A Timkat procession is not consultation. A museum visit is not a case plan.</w:t>
      </w:r>
    </w:p>
    <w:p>
      <w:pPr>
        <w:spacing w:after="160" w:line="300"/>
      </w:pPr>
      <w:r>
        <w:rPr>
          <w:rFonts w:ascii="Aptos" w:cs="Aptos" w:eastAsia="Aptos" w:hAnsi="Aptos"/>
          <w:color w:val="181817"/>
          <w:sz w:val="22"/>
          <w:szCs w:val="22"/>
        </w:rPr>
        <w:t xml:space="preserve">Do not put an icon on a unit display.</w:t>
      </w:r>
    </w:p>
    <w:p>
      <w:pPr>
        <w:pStyle w:val="Heading3"/>
        <w:keepNext/>
        <w:spacing w:after="120" w:before="200"/>
      </w:pPr>
      <w:r>
        <w:rPr>
          <w:rFonts w:ascii="Aptos" w:cs="Aptos" w:eastAsia="Aptos" w:hAnsi="Aptos"/>
          <w:b/>
          <w:bCs/>
          <w:color w:val="003865"/>
          <w:sz w:val="24"/>
          <w:szCs w:val="24"/>
        </w:rPr>
        <w:t xml:space="preserve">Conflict, War, and the State</w:t>
      </w:r>
    </w:p>
    <w:p>
      <w:pPr>
        <w:spacing w:after="160" w:line="300"/>
      </w:pPr>
      <w:r>
        <w:rPr>
          <w:rFonts w:ascii="Aptos" w:cs="Aptos" w:eastAsia="Aptos" w:hAnsi="Aptos"/>
          <w:color w:val="181817"/>
          <w:sz w:val="22"/>
          <w:szCs w:val="22"/>
        </w:rPr>
        <w:t xml:space="preserve">Imperial history, 1974, the Red Terror, the Derg, the 1980s famine, 1991, and the 2020–2022 Tigray war as current structure — that is the political file. Intra-Ethiopian politics in Minnesota are not folklore.</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A DHS badge is not automatically help. Do not referee the Tigray war in a waiver meeting. Do not pick a side.</w:t>
      </w:r>
    </w:p>
    <w:p>
      <w:pPr>
        <w:spacing w:after="160" w:line="300"/>
      </w:pPr>
      <w:r>
        <w:rPr>
          <w:rFonts w:ascii="Aptos" w:cs="Aptos" w:eastAsia="Aptos" w:hAnsi="Aptos"/>
          <w:color w:val="181817"/>
          <w:sz w:val="22"/>
          <w:szCs w:val="22"/>
        </w:rPr>
        <w:t xml:space="preserve">Do not ask anyone to narrate killing for your professional development. Mandated reporting still exists. So does the duty not to treat a whole community as a faction score.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Oromo as a synonym. Not Tigrayan as a synonym. Not Somali. Not Eritrean by default — Tigrinya and Arabic and a different state. Not Kenyan. Not historic African American. Not “East African interpreter.”</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Compass Ethiopian is the umbrella. This page is the Amharic door. If the household is Oromo, open Oromo. If Tigrayan, Tigrinya. If Somali — including Ethiopia-born Somali ancestry — Somali Minnesota.</w:t>
      </w:r>
    </w:p>
    <w:p>
      <w:pPr>
        <w:spacing w:after="160" w:line="300"/>
      </w:pPr>
      <w:r>
        <w:rPr>
          <w:rFonts w:ascii="Aptos" w:cs="Aptos" w:eastAsia="Aptos" w:hAnsi="Aptos"/>
          <w:color w:val="181817"/>
          <w:sz w:val="22"/>
          <w:szCs w:val="22"/>
        </w:rPr>
        <w:t xml:space="preserve">Some households are mixed. Ask this household. Never one Ethiopian module.</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Ethiopian cultural community (umbrella): 40,324; Twin Cities 89.4%; Greater Minnesota 10.6%; age 17 or younger 43.5%; 65+ 3.6%; foreign-born 61.7%; language other than English (age 5+) 74.9%; English less than “very well” 30.4%; high school or higher (25+) 81.5%; bachelor’s or higher 24.6%; median household income about $57,106 (2022 dollars, averaged); poverty 13.0%; renter-occupied 65.3%; owner-occupied 34.7%; average household size 3.09; disability 5.4%.</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Respondents born in Ethiopia who list Somali ancestry are counted Somali, not Ethiopian. Census recodes some Oromo write-ins as Ethiopian. This is not an Amharic speaker count. Do not invent one.</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Minnesota Secretary of State voter materials include Amharic — operations evidence that the language is in the state, not a population.</w:t>
      </w:r>
    </w:p>
    <w:p>
      <w:pPr>
        <w:spacing w:after="160" w:line="300"/>
      </w:pPr>
      <w:r>
        <w:rPr>
          <w:rFonts w:ascii="Aptos" w:cs="Aptos" w:eastAsia="Aptos" w:hAnsi="Aptos"/>
          <w:color w:val="181817"/>
          <w:sz w:val="22"/>
          <w:szCs w:val="22"/>
        </w:rPr>
        <w:t xml:space="preserve">Date the number. A young age structure is not a personality.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Ethiopian profile (ACS 2019–2023). Compass cultural-communities methodology (Oromo recode; Somali ancestry carved out). CLAS fifteen interpreter cards: Amharic. Minnesota Secretary of State Amharic voter tools. Orthodox parishes families name, including Debre Selam Medhanealem. Ethiopian Community in Minnesota as historical local door. Ethiopian Community Development Council affiliates. Pay. Identity is not a staffing plan.</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CECLC is a door, not the whole community. Learn on your own time. Do not make an Amharic-speaking colleague your unpaid tutor.</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Report back. Guest.</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Ethiopian, age 25+, umbrella: about 81.5 percent high school or higher; about 24.6 percent bachelor’s or higher. Date it. It is not an Amharic-only rate. A professional class is real. So is an elder who reads fidel and not the English IEP.</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Fidel literacy is not English literacy. A parent who writes Amharic and cannot run an exception form in English is not illiterate. The English-only form is the gate.</w:t>
      </w:r>
    </w:p>
    <w:p>
      <w:pPr>
        <w:spacing w:after="160" w:line="300"/>
      </w:pPr>
      <w:r>
        <w:rPr>
          <w:rFonts w:ascii="Aptos" w:cs="Aptos" w:eastAsia="Aptos" w:hAnsi="Aptos"/>
          <w:color w:val="181817"/>
          <w:sz w:val="22"/>
          <w:szCs w:val="22"/>
        </w:rPr>
        <w:t xml:space="preserve">Confirm whether Amharic is first language. An Oromo parent given an Amharic interpreter is still a closed door. Second-generation English is common. The IEP still has to reach the parent who does not read it.</w:t>
      </w:r>
    </w:p>
    <w:p>
      <w:pPr>
        <w:pStyle w:val="Heading3"/>
        <w:keepNext/>
        <w:spacing w:after="120" w:before="200"/>
      </w:pPr>
      <w:r>
        <w:rPr>
          <w:rFonts w:ascii="Aptos" w:cs="Aptos" w:eastAsia="Aptos" w:hAnsi="Aptos"/>
          <w:b/>
          <w:bCs/>
          <w:color w:val="003865"/>
          <w:sz w:val="24"/>
          <w:szCs w:val="24"/>
        </w:rPr>
        <w:t xml:space="preserve">Other Considerations</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Intra-Ethiopian political tension in Minnesota is real — Amhara, Oromo, Tigrayan, and the Tigray war as current structure. Do not pick a side. Do not pretend the parking lot is one “Ethiopian community.” Parish and Facebook are not a case plan.</w:t>
      </w:r>
    </w:p>
    <w:p>
      <w:pPr>
        <w:spacing w:after="160" w:line="300"/>
      </w:pPr>
      <w:r>
        <w:rPr>
          <w:rFonts w:ascii="Aptos" w:cs="Aptos" w:eastAsia="Aptos" w:hAnsi="Aptos"/>
          <w:color w:val="181817"/>
          <w:sz w:val="22"/>
          <w:szCs w:val="22"/>
        </w:rPr>
        <w:t xml:space="preserve">Colorism and highland/lowland hierarchy travel. You do not audit skin. You also do not delete the hierarchy to keep a training comfortable. LGBTQ Amharic-speaking Minnesotans exist. Conservative Orthodox, Protestant, and Muslim climates can mean silence. You use the name. You do not out someone to kin and call it culture.</w:t>
      </w:r>
    </w:p>
    <w:p>
      <w:pPr>
        <w:spacing w:after="160" w:line="300"/>
      </w:pPr>
      <w:r>
        <w:rPr>
          <w:rFonts w:ascii="Aptos" w:cs="Aptos" w:eastAsia="Aptos" w:hAnsi="Aptos"/>
          <w:color w:val="181817"/>
          <w:sz w:val="22"/>
          <w:szCs w:val="22"/>
        </w:rPr>
        <w:t xml:space="preserve">FGC is not the Amhara default story. Do not paste the Somali chapter here. If a household names it, follow law. Do not skip mandated reporting as humility. Enforcement climate changes who opens the door. Do not collect status you do not need. Do not treat fear as noncompliance.</w:t>
      </w:r>
    </w:p>
    <w:p>
      <w:pPr>
        <w:spacing w:after="160" w:line="300"/>
      </w:pPr>
      <w:r>
        <w:rPr>
          <w:rFonts w:ascii="Aptos" w:cs="Aptos" w:eastAsia="Aptos" w:hAnsi="Aptos"/>
          <w:color w:val="181817"/>
          <w:sz w:val="22"/>
          <w:szCs w:val="22"/>
        </w:rPr>
        <w:t xml:space="preserve">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Compass Ethiopian disability 5.4 percent — umbrella, dated. Fasting interacts with diabetes medication, pregnancy advice, and lab timing. Ask. “Noncompliance” may be the fast you never put on the appointment.</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There is no Amharic-specific Minnesota autism rate on this page. Do not invent one. Do not paste Somali ADDM or Hmong under-identification onto this people. Screen. Date a study when a controlling source exists.</w:t>
      </w:r>
    </w:p>
    <w:p>
      <w:pPr>
        <w:spacing w:after="160" w:line="300"/>
      </w:pPr>
      <w:r>
        <w:rPr>
          <w:rFonts w:ascii="Aptos" w:cs="Aptos" w:eastAsia="Aptos" w:hAnsi="Aptos"/>
          <w:color w:val="181817"/>
          <w:sz w:val="22"/>
          <w:szCs w:val="22"/>
        </w:rPr>
        <w:t xml:space="preserve">Gender match may be requested in maternal and intimate care. Offer it. Believe reported pain. Do not fold this history into Tuskegee or into a generic “African immigrant” slide.</w:t>
      </w:r>
    </w:p>
    <w:p>
      <w:pPr>
        <w:spacing w:after="160" w:line="300"/>
      </w:pPr>
      <w:r>
        <w:rPr>
          <w:rFonts w:ascii="Aptos" w:cs="Aptos" w:eastAsia="Aptos" w:hAnsi="Aptos"/>
          <w:color w:val="181817"/>
          <w:sz w:val="22"/>
          <w:szCs w:val="22"/>
        </w:rPr>
        <w:t xml:space="preserve">Holy water, vow, and parish counsel can sit next to biomedicine. If they name a healer or a priest, listen. Do not make them the case plan unless they asked.</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Compass Ethiopian, dated umbrella: median household about $57,106; poverty 13.0 percent; renter 65.3 percent. Restaurants, parking, care work, professional class, public employment. Pattern, not a personality.</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Amharic-speaking staff inside the department are not unpaid interpreters and not the community. Identity is not a staffing plan.</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Relationship may precede a signature. That is not permission to skip a notice. It is a reason the first visit may not be the decision.</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Wrong language door — Somali, Oromo, Tigrinya when they asked for Amharic, or Amharic when the home language is not. Three-name form. Fasting vs appointment. Who is in the room. Intra-community tension. Enforcement climate.</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Confirm Amharic is the home language. Offer gender match. Ask who should hear. Do not make staff the interpreter.</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If they name a priest, listen. Mandated reporting still exists.</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an interpreter labeled Ethiopian, Somali, or Oromo who is not Amharic as this household speaks it is a closed door. Confirm whether Amharic is first language or the empire’s second language in this home. If Oromo, book Afaan Oromoo. If Tigrayan, book Tigrinya. Gender match may be requested in maternal and intimate care.</w:t>
      </w:r>
    </w:p>
    <w:p>
      <w:pPr>
        <w:spacing w:after="160" w:line="300"/>
      </w:pPr>
      <w:r>
        <w:rPr>
          <w:rFonts w:ascii="Aptos" w:cs="Aptos" w:eastAsia="Aptos" w:hAnsi="Aptos"/>
          <w:color w:val="181817"/>
          <w:sz w:val="22"/>
          <w:szCs w:val="22"/>
        </w:rPr>
        <w:t xml:space="preserve">Names: given name plus father’s name. The database that invents a last name is a gate that follows the person. Same trap as Somali. Different people.</w:t>
      </w:r>
    </w:p>
    <w:p>
      <w:pPr>
        <w:spacing w:after="160" w:line="300"/>
      </w:pPr>
      <w:r>
        <w:rPr>
          <w:rFonts w:ascii="Aptos" w:cs="Aptos" w:eastAsia="Aptos" w:hAnsi="Aptos"/>
          <w:color w:val="181817"/>
          <w:sz w:val="22"/>
          <w:szCs w:val="22"/>
        </w:rPr>
        <w:t xml:space="preserve">Fasting: Wednesday, Friday, Lent, Advent, other seasons for many Orthodox households. Medication with food, labs, morning appointments. Ask. “No-show” may be the feast you scheduled against.</w:t>
      </w:r>
    </w:p>
    <w:p>
      <w:pPr>
        <w:spacing w:after="160" w:line="300"/>
      </w:pPr>
      <w:r>
        <w:rPr>
          <w:rFonts w:ascii="Aptos" w:cs="Aptos" w:eastAsia="Aptos" w:hAnsi="Aptos"/>
          <w:color w:val="181817"/>
          <w:sz w:val="22"/>
          <w:szCs w:val="22"/>
        </w:rPr>
        <w:t xml:space="preserve">Hour caps, exception processes, and life-sharing matches without language are not culturally neutral.</w:t>
      </w:r>
    </w:p>
    <w:p>
      <w:pPr>
        <w:spacing w:after="160" w:line="300"/>
      </w:pPr>
      <w:r>
        <w:rPr>
          <w:rFonts w:ascii="Aptos" w:cs="Aptos" w:eastAsia="Aptos" w:hAnsi="Aptos"/>
          <w:color w:val="181817"/>
          <w:sz w:val="22"/>
          <w:szCs w:val="22"/>
        </w:rPr>
        <w:t xml:space="preserve">Notices and comment: an eList and an English PDF is not how this community was reached. Empty follow-up cells are theater. SOS already prints Amharic for voters — the packet can too.</w:t>
      </w:r>
    </w:p>
    <w:p>
      <w:pPr>
        <w:spacing w:after="160" w:line="300"/>
      </w:pPr>
      <w:r>
        <w:rPr>
          <w:rFonts w:ascii="Aptos" w:cs="Aptos" w:eastAsia="Aptos" w:hAnsi="Aptos"/>
          <w:color w:val="181817"/>
          <w:sz w:val="22"/>
          <w:szCs w:val="22"/>
        </w:rPr>
        <w:t xml:space="preserve">Workforce: Amharic-speaking staff are not the interpreter pool and not the community.</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heard “East African” and booked Somali.</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Amharic-speaking Minnesota</dc:title>
  <dc:creator>One DHS People, Access and Culture</dc:creator>
  <dc:description>This brief is about Amharic-speaking Minnesota — Amhara households and other households that use Amharic as a first or working language — as a people-page. Amharic is on the CLAS fifteen interpreter cards. That is operations. It is not a census of who is Ethiopian, and it is not permission to treat Ethiopia as one people.</dc:description>
  <cp:lastModifiedBy>Un-named</cp:lastModifiedBy>
  <cp:revision>1</cp:revision>
  <dcterms:created xsi:type="dcterms:W3CDTF">2026-10-04T23:49:28.280Z</dcterms:created>
  <dcterms:modified xsi:type="dcterms:W3CDTF">2026-10-04T23:49:28.280Z</dcterms:modified>
</cp:coreProperties>
</file>

<file path=docProps/custom.xml><?xml version="1.0" encoding="utf-8"?>
<Properties xmlns="http://schemas.openxmlformats.org/officeDocument/2006/custom-properties" xmlns:vt="http://schemas.openxmlformats.org/officeDocument/2006/docPropsVTypes"/>
</file>