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AREA OF WORK · LEADING EQUITY WORK AND CHANGING SYSTEMS</w:t>
      </w:r>
    </w:p>
    <w:p>
      <w:pPr>
        <w:spacing w:after="120"/>
      </w:pPr>
      <w:r>
        <w:rPr>
          <w:rFonts w:ascii="Aptos" w:cs="Aptos" w:eastAsia="Aptos" w:hAnsi="Aptos"/>
          <w:b/>
          <w:bCs/>
          <w:color w:val="003865"/>
          <w:sz w:val="40"/>
          <w:szCs w:val="40"/>
        </w:rPr>
        <w:t xml:space="preserve">Leadership, governance, and systems change</w:t>
      </w:r>
    </w:p>
    <w:p>
      <w:pPr>
        <w:spacing w:after="160"/>
      </w:pPr>
      <w:r>
        <w:rPr>
          <w:rFonts w:ascii="Aptos" w:cs="Aptos" w:eastAsia="Aptos" w:hAnsi="Aptos"/>
          <w:i/>
          <w:iCs/>
          <w:color w:val="353532"/>
          <w:sz w:val="23"/>
          <w:szCs w:val="23"/>
        </w:rPr>
        <w:t xml:space="preserve">Moving from foundation to integration to institutionalization: decision rights, resources, accountability, and the leadership practices that make equity part of how the organization runs.</w:t>
      </w:r>
    </w:p>
    <w:p>
      <w:pPr>
        <w:pBdr>
          <w:bottom w:val="single" w:color="003865" w:sz="12" w:space="12"/>
        </w:pBdr>
        <w:spacing w:after="100"/>
      </w:pPr>
      <w:r>
        <w:rPr>
          <w:rFonts w:ascii="Aptos" w:cs="Aptos" w:eastAsia="Aptos" w:hAnsi="Aptos"/>
          <w:b/>
          <w:bCs/>
          <w:color w:val="353532"/>
          <w:sz w:val="18"/>
          <w:szCs w:val="18"/>
        </w:rPr>
        <w:t xml:space="preserve">Goals: </w:t>
      </w:r>
      <w:r>
        <w:rPr>
          <w:rFonts w:ascii="Aptos" w:cs="Aptos" w:eastAsia="Aptos" w:hAnsi="Aptos"/>
          <w:color w:val="353532"/>
          <w:sz w:val="18"/>
          <w:szCs w:val="18"/>
        </w:rPr>
        <w:t xml:space="preserve">Contracts and procurement; Learning and development; Eliminate disparities</w:t>
      </w:r>
    </w:p>
    <w:p>
      <w:pPr>
        <w:pStyle w:val="Heading1"/>
        <w:keepNext/>
        <w:spacing w:after="140" w:before="320"/>
      </w:pPr>
      <w:r>
        <w:rPr>
          <w:rFonts w:ascii="Aptos" w:cs="Aptos" w:eastAsia="Aptos" w:hAnsi="Aptos"/>
          <w:b/>
          <w:bCs/>
          <w:color w:val="003865"/>
          <w:sz w:val="28"/>
          <w:szCs w:val="28"/>
        </w:rPr>
        <w:t xml:space="preserve">Why it matters</w:t>
      </w:r>
    </w:p>
    <w:p>
      <w:pPr>
        <w:spacing w:after="160" w:line="300"/>
      </w:pPr>
      <w:r>
        <w:rPr>
          <w:rFonts w:ascii="Aptos" w:cs="Aptos" w:eastAsia="Aptos" w:hAnsi="Aptos"/>
          <w:color w:val="181817"/>
          <w:sz w:val="22"/>
          <w:szCs w:val="22"/>
        </w:rPr>
        <w:t xml:space="preserve">Approval bottlenecks, diffuse responsibility, and unclear decision rights were named repeatedly. Systems change is leadership work with owners, not an event.</w:t>
      </w:r>
    </w:p>
    <w:p>
      <w:pPr>
        <w:pStyle w:val="Heading1"/>
        <w:keepNext/>
        <w:spacing w:after="140" w:before="320"/>
      </w:pPr>
      <w:r>
        <w:rPr>
          <w:rFonts w:ascii="Aptos" w:cs="Aptos" w:eastAsia="Aptos" w:hAnsi="Aptos"/>
          <w:b/>
          <w:bCs/>
          <w:color w:val="003865"/>
          <w:sz w:val="28"/>
          <w:szCs w:val="28"/>
        </w:rPr>
        <w:t xml:space="preserve">Questions to begin with</w:t>
      </w:r>
    </w:p>
    <w:p>
      <w:pPr>
        <w:pStyle w:val="ListParagraph"/>
        <w:numPr>
          <w:ilvl w:val="0"/>
          <w:numId w:val="2"/>
        </w:numPr>
        <w:spacing w:after="80" w:line="290"/>
      </w:pPr>
      <w:r>
        <w:rPr>
          <w:rFonts w:ascii="Aptos" w:cs="Aptos" w:eastAsia="Aptos" w:hAnsi="Aptos"/>
          <w:color w:val="181817"/>
          <w:sz w:val="22"/>
          <w:szCs w:val="22"/>
        </w:rPr>
        <w:t xml:space="preserve">Who has the authority to change this, and what do they need to decide?</w:t>
      </w:r>
    </w:p>
    <w:p>
      <w:pPr>
        <w:pStyle w:val="ListParagraph"/>
        <w:numPr>
          <w:ilvl w:val="0"/>
          <w:numId w:val="2"/>
        </w:numPr>
        <w:spacing w:after="80" w:line="290"/>
      </w:pPr>
      <w:r>
        <w:rPr>
          <w:rFonts w:ascii="Aptos" w:cs="Aptos" w:eastAsia="Aptos" w:hAnsi="Aptos"/>
          <w:color w:val="181817"/>
          <w:sz w:val="22"/>
          <w:szCs w:val="22"/>
        </w:rPr>
        <w:t xml:space="preserve">What is treated as immovable that is actually a choice?</w:t>
      </w:r>
    </w:p>
    <w:p>
      <w:pPr>
        <w:pStyle w:val="ListParagraph"/>
        <w:numPr>
          <w:ilvl w:val="0"/>
          <w:numId w:val="2"/>
        </w:numPr>
        <w:spacing w:after="80" w:line="290"/>
      </w:pPr>
      <w:r>
        <w:rPr>
          <w:rFonts w:ascii="Aptos" w:cs="Aptos" w:eastAsia="Aptos" w:hAnsi="Aptos"/>
          <w:color w:val="181817"/>
          <w:sz w:val="22"/>
          <w:szCs w:val="22"/>
        </w:rPr>
        <w:t xml:space="preserve">Where are equity commitments funded, staffed, and reviewed, and where are they only stated?</w:t>
      </w:r>
    </w:p>
    <w:p>
      <w:pPr>
        <w:pStyle w:val="ListParagraph"/>
        <w:numPr>
          <w:ilvl w:val="0"/>
          <w:numId w:val="2"/>
        </w:numPr>
        <w:spacing w:after="80" w:line="290"/>
      </w:pPr>
      <w:r>
        <w:rPr>
          <w:rFonts w:ascii="Aptos" w:cs="Aptos" w:eastAsia="Aptos" w:hAnsi="Aptos"/>
          <w:color w:val="181817"/>
          <w:sz w:val="22"/>
          <w:szCs w:val="22"/>
        </w:rPr>
        <w:t xml:space="preserve">How will leaders learn what is working without surveilling staff?</w:t>
      </w:r>
    </w:p>
    <w:p>
      <w:pPr>
        <w:pStyle w:val="Heading1"/>
        <w:keepNext/>
        <w:spacing w:after="140" w:before="320"/>
      </w:pPr>
      <w:r>
        <w:rPr>
          <w:rFonts w:ascii="Aptos" w:cs="Aptos" w:eastAsia="Aptos" w:hAnsi="Aptos"/>
          <w:b/>
          <w:bCs/>
          <w:color w:val="003865"/>
          <w:sz w:val="28"/>
          <w:szCs w:val="28"/>
        </w:rPr>
        <w:t xml:space="preserve">Work you can take forward</w:t>
      </w:r>
    </w:p>
    <w:p>
      <w:pPr>
        <w:pStyle w:val="Heading3"/>
        <w:keepNext/>
        <w:spacing w:after="120" w:before="200"/>
      </w:pPr>
      <w:r>
        <w:rPr>
          <w:rFonts w:ascii="Aptos" w:cs="Aptos" w:eastAsia="Aptos" w:hAnsi="Aptos"/>
          <w:b/>
          <w:bCs/>
          <w:color w:val="003865"/>
          <w:sz w:val="24"/>
          <w:szCs w:val="24"/>
        </w:rPr>
        <w:t xml:space="preserve">Make and record an equity-informed leadership decision</w:t>
      </w:r>
    </w:p>
    <w:p>
      <w:pPr>
        <w:spacing w:after="160" w:line="300"/>
      </w:pPr>
      <w:r>
        <w:rPr>
          <w:rFonts w:ascii="Aptos" w:cs="Aptos" w:eastAsia="Aptos" w:hAnsi="Aptos"/>
          <w:color w:val="181817"/>
          <w:sz w:val="22"/>
          <w:szCs w:val="22"/>
        </w:rPr>
        <w:t xml:space="preserve">A decision record that names the equity questions considered, alternatives, owners, and the date the decision will be revisited.</w:t>
      </w:r>
    </w:p>
    <w:p>
      <w:pPr>
        <w:spacing w:after="160" w:line="300"/>
      </w:pPr>
      <w:r>
        <w:rPr>
          <w:rFonts w:ascii="Aptos" w:cs="Aptos" w:eastAsia="Aptos" w:hAnsi="Aptos"/>
          <w:color w:val="181817"/>
          <w:sz w:val="22"/>
          <w:szCs w:val="22"/>
        </w:rPr>
        <w:t xml:space="preserve">Division and administration leadership · Program and policy staff</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 eight steps for any decision</w:t>
      </w:r>
      <w:r>
        <w:rPr>
          <w:rFonts w:ascii="Aptos" w:cs="Aptos" w:eastAsia="Aptos" w:hAnsi="Aptos"/>
          <w:color w:val="181817"/>
          <w:sz w:val="22"/>
          <w:szCs w:val="22"/>
        </w:rPr>
        <w:t xml:space="preserve"> — program page /library/ja-operational-equity-canvas</w:t>
      </w:r>
    </w:p>
    <w:p>
      <w:pPr>
        <w:pStyle w:val="ListParagraph"/>
        <w:numPr>
          <w:ilvl w:val="0"/>
          <w:numId w:val="2"/>
        </w:numPr>
        <w:spacing w:after="80" w:line="290"/>
      </w:pPr>
      <w:r>
        <w:rPr>
          <w:rFonts w:ascii="Aptos" w:cs="Aptos" w:eastAsia="Aptos" w:hAnsi="Aptos"/>
          <w:b/>
          <w:bCs/>
          <w:color w:val="181817"/>
          <w:sz w:val="22"/>
          <w:szCs w:val="22"/>
        </w:rPr>
        <w:t xml:space="preserve">Start from the work you are doing: role-aware entry points</w:t>
      </w:r>
      <w:r>
        <w:rPr>
          <w:rFonts w:ascii="Aptos" w:cs="Aptos" w:eastAsia="Aptos" w:hAnsi="Aptos"/>
          <w:color w:val="181817"/>
          <w:sz w:val="22"/>
          <w:szCs w:val="22"/>
        </w:rPr>
        <w:t xml:space="preserve"> — program page /library/pn-role-aware-entry</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What should a leadership decision record contain so equity considerations are visible later?</w:t>
      </w:r>
    </w:p>
    <w:p>
      <w:pPr>
        <w:pStyle w:val="Heading3"/>
        <w:keepNext/>
        <w:spacing w:after="120" w:before="200"/>
      </w:pPr>
      <w:r>
        <w:rPr>
          <w:rFonts w:ascii="Aptos" w:cs="Aptos" w:eastAsia="Aptos" w:hAnsi="Aptos"/>
          <w:b/>
          <w:bCs/>
          <w:color w:val="003865"/>
          <w:sz w:val="24"/>
          <w:szCs w:val="24"/>
        </w:rPr>
        <w:t xml:space="preserve">Build equity into a contract, grant, or procurement</w:t>
      </w:r>
    </w:p>
    <w:p>
      <w:pPr>
        <w:spacing w:after="160" w:line="300"/>
      </w:pPr>
      <w:r>
        <w:rPr>
          <w:rFonts w:ascii="Aptos" w:cs="Aptos" w:eastAsia="Aptos" w:hAnsi="Aptos"/>
          <w:color w:val="181817"/>
          <w:sz w:val="22"/>
          <w:szCs w:val="22"/>
        </w:rPr>
        <w:t xml:space="preserve">Equity considerations in the solicitation, evaluation, and monitoring, with vendor diversity practice and accessibility requirements named.</w:t>
      </w:r>
    </w:p>
    <w:p>
      <w:pPr>
        <w:spacing w:after="160" w:line="300"/>
      </w:pPr>
      <w:r>
        <w:rPr>
          <w:rFonts w:ascii="Aptos" w:cs="Aptos" w:eastAsia="Aptos" w:hAnsi="Aptos"/>
          <w:color w:val="181817"/>
          <w:sz w:val="22"/>
          <w:szCs w:val="22"/>
        </w:rPr>
        <w:t xml:space="preserve">Fiscal, contracts, and procurement · Program and policy staff</w:t>
      </w:r>
    </w:p>
    <w:p>
      <w:pPr>
        <w:pStyle w:val="ListParagraph"/>
        <w:numPr>
          <w:ilvl w:val="0"/>
          <w:numId w:val="2"/>
        </w:numPr>
        <w:spacing w:after="80" w:line="290"/>
      </w:pPr>
      <w:r>
        <w:rPr>
          <w:rFonts w:ascii="Aptos" w:cs="Aptos" w:eastAsia="Aptos" w:hAnsi="Aptos"/>
          <w:b/>
          <w:bCs/>
          <w:color w:val="181817"/>
          <w:sz w:val="22"/>
          <w:szCs w:val="22"/>
        </w:rPr>
        <w:t xml:space="preserve">Equity in contracts, grants, and procurement: where the questions belong</w:t>
      </w:r>
      <w:r>
        <w:rPr>
          <w:rFonts w:ascii="Aptos" w:cs="Aptos" w:eastAsia="Aptos" w:hAnsi="Aptos"/>
          <w:color w:val="181817"/>
          <w:sz w:val="22"/>
          <w:szCs w:val="22"/>
        </w:rPr>
        <w:t xml:space="preserve"> — program page /library/ja-procurement-contract-equity</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We are drafting a request for proposals. Where do equity and accessibility requirements belong?</w:t>
      </w:r>
    </w:p>
    <w:p>
      <w:pPr>
        <w:pStyle w:val="Heading3"/>
        <w:keepNext/>
        <w:spacing w:after="120" w:before="200"/>
      </w:pPr>
      <w:r>
        <w:rPr>
          <w:rFonts w:ascii="Aptos" w:cs="Aptos" w:eastAsia="Aptos" w:hAnsi="Aptos"/>
          <w:b/>
          <w:bCs/>
          <w:color w:val="003865"/>
          <w:sz w:val="24"/>
          <w:szCs w:val="24"/>
        </w:rPr>
        <w:t xml:space="preserve">Develop leaders and leadership pathways</w:t>
      </w:r>
    </w:p>
    <w:p>
      <w:pPr>
        <w:spacing w:after="160" w:line="300"/>
      </w:pPr>
      <w:r>
        <w:rPr>
          <w:rFonts w:ascii="Aptos" w:cs="Aptos" w:eastAsia="Aptos" w:hAnsi="Aptos"/>
          <w:color w:val="181817"/>
          <w:sz w:val="22"/>
          <w:szCs w:val="22"/>
        </w:rPr>
        <w:t xml:space="preserve">Transparent pathways, sponsorship, and leadership learning that connect to the State's Emerging Leaders Institute and DHS practice.</w:t>
      </w:r>
    </w:p>
    <w:p>
      <w:pPr>
        <w:spacing w:after="160" w:line="300"/>
      </w:pPr>
      <w:r>
        <w:rPr>
          <w:rFonts w:ascii="Aptos" w:cs="Aptos" w:eastAsia="Aptos" w:hAnsi="Aptos"/>
          <w:color w:val="181817"/>
          <w:sz w:val="22"/>
          <w:szCs w:val="22"/>
        </w:rPr>
        <w:t xml:space="preserve">Division and administration leadership · Supervisors and managers</w:t>
      </w:r>
    </w:p>
    <w:p>
      <w:pPr>
        <w:pStyle w:val="ListParagraph"/>
        <w:numPr>
          <w:ilvl w:val="0"/>
          <w:numId w:val="2"/>
        </w:numPr>
        <w:spacing w:after="80" w:line="290"/>
      </w:pPr>
      <w:r>
        <w:rPr>
          <w:rFonts w:ascii="Aptos" w:cs="Aptos" w:eastAsia="Aptos" w:hAnsi="Aptos"/>
          <w:b/>
          <w:bCs/>
          <w:color w:val="181817"/>
          <w:sz w:val="22"/>
          <w:szCs w:val="22"/>
        </w:rPr>
        <w:t xml:space="preserve">Mentoring, sponsorship, and reverse mentoring: three different things</w:t>
      </w:r>
      <w:r>
        <w:rPr>
          <w:rFonts w:ascii="Aptos" w:cs="Aptos" w:eastAsia="Aptos" w:hAnsi="Aptos"/>
          <w:color w:val="181817"/>
          <w:sz w:val="22"/>
          <w:szCs w:val="22"/>
        </w:rPr>
        <w:t xml:space="preserve"> — program page /library/pn-mentoring-sponsorship</w:t>
      </w:r>
    </w:p>
    <w:p>
      <w:pPr>
        <w:pStyle w:val="ListParagraph"/>
        <w:numPr>
          <w:ilvl w:val="0"/>
          <w:numId w:val="2"/>
        </w:numPr>
        <w:spacing w:after="80" w:line="290"/>
      </w:pPr>
      <w:r>
        <w:rPr>
          <w:rFonts w:ascii="Aptos" w:cs="Aptos" w:eastAsia="Aptos" w:hAnsi="Aptos"/>
          <w:b/>
          <w:bCs/>
          <w:color w:val="181817"/>
          <w:sz w:val="22"/>
          <w:szCs w:val="22"/>
        </w:rPr>
        <w:t xml:space="preserve">State of Minnesota Emerging Leaders Institute</w:t>
      </w:r>
      <w:r>
        <w:rPr>
          <w:rFonts w:ascii="Aptos" w:cs="Aptos" w:eastAsia="Aptos" w:hAnsi="Aptos"/>
          <w:color w:val="181817"/>
          <w:sz w:val="22"/>
          <w:szCs w:val="22"/>
        </w:rPr>
        <w:t xml:space="preserve"> — program page /library/ext-emerging-leaders-institute</w:t>
      </w:r>
    </w:p>
    <w:p>
      <w:pPr>
        <w:spacing w:after="160" w:line="300"/>
      </w:pPr>
      <w:r>
        <w:rPr>
          <w:rFonts w:ascii="Aptos" w:cs="Aptos" w:eastAsia="Aptos" w:hAnsi="Aptos"/>
          <w:b/>
          <w:bCs/>
          <w:color w:val="181817"/>
          <w:sz w:val="22"/>
          <w:szCs w:val="22"/>
        </w:rPr>
        <w:t xml:space="preserve">Ask: </w:t>
      </w:r>
      <w:r>
        <w:rPr>
          <w:rFonts w:ascii="Aptos" w:cs="Aptos" w:eastAsia="Aptos" w:hAnsi="Aptos"/>
          <w:color w:val="181817"/>
          <w:sz w:val="22"/>
          <w:szCs w:val="22"/>
        </w:rPr>
        <w:t xml:space="preserve">How do we build leadership pathways that people can actually see and enter?</w:t>
      </w:r>
    </w:p>
    <w:p>
      <w:pPr>
        <w:pStyle w:val="Heading1"/>
        <w:keepNext/>
        <w:spacing w:after="140" w:before="320"/>
      </w:pPr>
      <w:r>
        <w:rPr>
          <w:rFonts w:ascii="Aptos" w:cs="Aptos" w:eastAsia="Aptos" w:hAnsi="Aptos"/>
          <w:b/>
          <w:bCs/>
          <w:color w:val="003865"/>
          <w:sz w:val="28"/>
          <w:szCs w:val="28"/>
        </w:rPr>
        <w:t xml:space="preserve">Tools and frameworks</w:t>
      </w:r>
    </w:p>
    <w:p>
      <w:pPr>
        <w:pStyle w:val="ListParagraph"/>
        <w:numPr>
          <w:ilvl w:val="0"/>
          <w:numId w:val="2"/>
        </w:numPr>
        <w:spacing w:after="80" w:line="290"/>
      </w:pPr>
      <w:r>
        <w:rPr>
          <w:rFonts w:ascii="Aptos" w:cs="Aptos" w:eastAsia="Aptos" w:hAnsi="Aptos"/>
          <w:b/>
          <w:bCs/>
          <w:color w:val="181817"/>
          <w:sz w:val="22"/>
          <w:szCs w:val="22"/>
        </w:rPr>
        <w:t xml:space="preserve">Tool card: GARE Racial Equity Toolkit</w:t>
      </w:r>
      <w:r>
        <w:rPr>
          <w:rFonts w:ascii="Aptos" w:cs="Aptos" w:eastAsia="Aptos" w:hAnsi="Aptos"/>
          <w:color w:val="181817"/>
          <w:sz w:val="22"/>
          <w:szCs w:val="22"/>
        </w:rPr>
        <w:t xml:space="preserve"> — 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Style w:val="ListParagraph"/>
        <w:numPr>
          <w:ilvl w:val="0"/>
          <w:numId w:val="2"/>
        </w:numPr>
        <w:spacing w:after="80" w:line="290"/>
      </w:pPr>
      <w:r>
        <w:rPr>
          <w:rFonts w:ascii="Aptos" w:cs="Aptos" w:eastAsia="Aptos" w:hAnsi="Aptos"/>
          <w:b/>
          <w:bCs/>
          <w:color w:val="181817"/>
          <w:sz w:val="22"/>
          <w:szCs w:val="22"/>
        </w:rPr>
        <w:t xml:space="preserve">Tool card: Minnesota Equity Analysis Toolkit</w:t>
      </w:r>
      <w:r>
        <w:rPr>
          <w:rFonts w:ascii="Aptos" w:cs="Aptos" w:eastAsia="Aptos" w:hAnsi="Aptos"/>
          <w:color w:val="181817"/>
          <w:sz w:val="22"/>
          <w:szCs w:val="22"/>
        </w:rPr>
        <w:t xml:space="preserve"> — The State of Minnesota's official equity analysis toolkit, published by Minnesota Management and Budget, used with the DHS Equity Policy. Public. Permitted use: cite, link, follow. The policy owner determines when it is required.</w:t>
      </w:r>
    </w:p>
    <w:p>
      <w:pPr>
        <w:pStyle w:val="Heading1"/>
        <w:keepNext/>
        <w:spacing w:after="140" w:before="320"/>
      </w:pPr>
      <w:r>
        <w:rPr>
          <w:rFonts w:ascii="Aptos" w:cs="Aptos" w:eastAsia="Aptos" w:hAnsi="Aptos"/>
          <w:b/>
          <w:bCs/>
          <w:color w:val="003865"/>
          <w:sz w:val="28"/>
          <w:szCs w:val="28"/>
        </w:rPr>
        <w:t xml:space="preserve">In DSD work</w:t>
      </w:r>
    </w:p>
    <w:p>
      <w:pPr>
        <w:spacing w:after="160" w:line="300"/>
      </w:pPr>
      <w:r>
        <w:rPr>
          <w:rFonts w:ascii="Aptos" w:cs="Aptos" w:eastAsia="Aptos" w:hAnsi="Aptos"/>
          <w:color w:val="181817"/>
          <w:sz w:val="22"/>
          <w:szCs w:val="22"/>
        </w:rPr>
        <w:t xml:space="preserve">One DSD adds division implementation-plan context, governance scenarios, and consultation for leadership decisions.</w:t>
      </w:r>
    </w:p>
    <w:p>
      <w:pPr>
        <w:pStyle w:val="ListParagraph"/>
        <w:numPr>
          <w:ilvl w:val="0"/>
          <w:numId w:val="2"/>
        </w:numPr>
        <w:spacing w:after="80" w:line="290"/>
      </w:pPr>
      <w:r>
        <w:rPr>
          <w:rFonts w:ascii="Aptos" w:cs="Aptos" w:eastAsia="Aptos" w:hAnsi="Aptos"/>
          <w:color w:val="181817"/>
          <w:sz w:val="22"/>
          <w:szCs w:val="22"/>
        </w:rPr>
        <w:t xml:space="preserve">DSD leadership and strategy</w:t>
      </w:r>
    </w:p>
    <w:p>
      <w:pPr>
        <w:pStyle w:val="ListParagraph"/>
        <w:numPr>
          <w:ilvl w:val="0"/>
          <w:numId w:val="2"/>
        </w:numPr>
        <w:spacing w:after="80" w:line="290"/>
      </w:pPr>
      <w:r>
        <w:rPr>
          <w:rFonts w:ascii="Aptos" w:cs="Aptos" w:eastAsia="Aptos" w:hAnsi="Aptos"/>
          <w:color w:val="181817"/>
          <w:sz w:val="22"/>
          <w:szCs w:val="22"/>
        </w:rPr>
        <w:t xml:space="preserve">DSD equity implementation plan</w:t>
      </w:r>
    </w:p>
    <w:p>
      <w:pPr>
        <w:pStyle w:val="ListParagraph"/>
        <w:numPr>
          <w:ilvl w:val="0"/>
          <w:numId w:val="2"/>
        </w:numPr>
        <w:spacing w:after="80" w:line="290"/>
      </w:pPr>
      <w:r>
        <w:rPr>
          <w:rFonts w:ascii="Aptos" w:cs="Aptos" w:eastAsia="Aptos" w:hAnsi="Aptos"/>
          <w:color w:val="181817"/>
          <w:sz w:val="22"/>
          <w:szCs w:val="22"/>
        </w:rPr>
        <w:t xml:space="preserve">One DSD Team governance</w:t>
      </w:r>
    </w:p>
    <w:p>
      <w:pPr>
        <w:pStyle w:val="Heading3"/>
        <w:keepNext/>
        <w:spacing w:after="120" w:before="200"/>
      </w:pPr>
      <w:r>
        <w:rPr>
          <w:rFonts w:ascii="Aptos" w:cs="Aptos" w:eastAsia="Aptos" w:hAnsi="Aptos"/>
          <w:b/>
          <w:bCs/>
          <w:color w:val="003865"/>
          <w:sz w:val="24"/>
          <w:szCs w:val="24"/>
        </w:rPr>
        <w:t xml:space="preserve">Connected programs</w:t>
      </w:r>
    </w:p>
    <w:p>
      <w:pPr>
        <w:pStyle w:val="ListParagraph"/>
        <w:numPr>
          <w:ilvl w:val="0"/>
          <w:numId w:val="2"/>
        </w:numPr>
        <w:spacing w:after="80" w:line="290"/>
      </w:pPr>
      <w:r>
        <w:rPr>
          <w:rFonts w:ascii="Aptos" w:cs="Aptos" w:eastAsia="Aptos" w:hAnsi="Aptos"/>
          <w:color w:val="181817"/>
          <w:sz w:val="22"/>
          <w:szCs w:val="22"/>
        </w:rPr>
        <w:t xml:space="preserve">Olmstead and community integration</w:t>
      </w:r>
    </w:p>
    <w:p>
      <w:pPr>
        <w:pStyle w:val="ListParagraph"/>
        <w:numPr>
          <w:ilvl w:val="0"/>
          <w:numId w:val="2"/>
        </w:numPr>
        <w:spacing w:after="80" w:line="290"/>
      </w:pPr>
      <w:r>
        <w:rPr>
          <w:rFonts w:ascii="Aptos" w:cs="Aptos" w:eastAsia="Aptos" w:hAnsi="Aptos"/>
          <w:color w:val="181817"/>
          <w:sz w:val="22"/>
          <w:szCs w:val="22"/>
        </w:rPr>
        <w:t xml:space="preserve">Contracts, grants, fiscal, and capacity work</w:t>
      </w:r>
    </w:p>
    <w:p>
      <w:pPr>
        <w:pStyle w:val="ListParagraph"/>
        <w:numPr>
          <w:ilvl w:val="0"/>
          <w:numId w:val="2"/>
        </w:numPr>
        <w:spacing w:after="80" w:line="290"/>
      </w:pPr>
      <w:r>
        <w:rPr>
          <w:rFonts w:ascii="Aptos" w:cs="Aptos" w:eastAsia="Aptos" w:hAnsi="Aptos"/>
          <w:color w:val="181817"/>
          <w:sz w:val="22"/>
          <w:szCs w:val="22"/>
        </w:rPr>
        <w:t xml:space="preserve">Division leadership, legislative work, and strategy</w:t>
      </w:r>
    </w:p>
    <w:p>
      <w:pPr>
        <w:pStyle w:val="Heading3"/>
        <w:keepNext/>
        <w:spacing w:after="120" w:before="200"/>
      </w:pPr>
      <w:r>
        <w:rPr>
          <w:rFonts w:ascii="Aptos" w:cs="Aptos" w:eastAsia="Aptos" w:hAnsi="Aptos"/>
          <w:b/>
          <w:bCs/>
          <w:color w:val="003865"/>
          <w:sz w:val="24"/>
          <w:szCs w:val="24"/>
        </w:rPr>
        <w:t xml:space="preserve">Situations to explore</w:t>
      </w:r>
    </w:p>
    <w:p>
      <w:pPr>
        <w:pStyle w:val="ListParagraph"/>
        <w:numPr>
          <w:ilvl w:val="0"/>
          <w:numId w:val="2"/>
        </w:numPr>
        <w:spacing w:after="80" w:line="290"/>
      </w:pPr>
      <w:r>
        <w:rPr>
          <w:rFonts w:ascii="Aptos" w:cs="Aptos" w:eastAsia="Aptos" w:hAnsi="Aptos"/>
          <w:color w:val="181817"/>
          <w:sz w:val="22"/>
          <w:szCs w:val="22"/>
        </w:rPr>
        <w:t xml:space="preserve">Every equity change waits for one approval that never comes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governance, and systems change</dc:title>
  <dc:creator>One DSD People, Access and Culture</dc:creator>
  <dc:description>Moving from foundation to integration to institutionalization: decision rights, resources, accountability, and the leadership practices that make equity part of how the organization runs.</dc:description>
  <cp:lastModifiedBy>Un-named</cp:lastModifiedBy>
  <cp:revision>1</cp:revision>
  <dcterms:created xsi:type="dcterms:W3CDTF">2026-10-05T19:51:40.876Z</dcterms:created>
  <dcterms:modified xsi:type="dcterms:W3CDTF">2026-10-05T19:51:40.876Z</dcterms:modified>
</cp:coreProperties>
</file>

<file path=docProps/custom.xml><?xml version="1.0" encoding="utf-8"?>
<Properties xmlns="http://schemas.openxmlformats.org/officeDocument/2006/custom-properties" xmlns:vt="http://schemas.openxmlformats.org/officeDocument/2006/docPropsVTypes"/>
</file>