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AREA OF WORK · LEADING EQUITY WORK AND CHANGING SYSTEMS</w:t>
      </w:r>
    </w:p>
    <w:p>
      <w:pPr>
        <w:spacing w:after="120"/>
      </w:pPr>
      <w:r>
        <w:rPr>
          <w:rFonts w:ascii="Aptos" w:cs="Aptos" w:eastAsia="Aptos" w:hAnsi="Aptos"/>
          <w:b/>
          <w:bCs/>
          <w:color w:val="003865"/>
          <w:sz w:val="40"/>
          <w:szCs w:val="40"/>
        </w:rPr>
        <w:t xml:space="preserve">Leadership, governance, and systems change</w:t>
      </w:r>
    </w:p>
    <w:p>
      <w:pPr>
        <w:spacing w:after="160"/>
      </w:pPr>
      <w:r>
        <w:rPr>
          <w:rFonts w:ascii="Aptos" w:cs="Aptos" w:eastAsia="Aptos" w:hAnsi="Aptos"/>
          <w:i/>
          <w:iCs/>
          <w:color w:val="353532"/>
          <w:sz w:val="23"/>
          <w:szCs w:val="23"/>
        </w:rPr>
        <w:t xml:space="preserve">Moving from foundation to integration to institutionalization: decision rights, resources, accountability, and the leadership practices that make equity part of how the organization runs.</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Contracts and procurement; Learning and development; Eliminate disparities</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Approval bottlenecks, diffuse responsibility, and unclear decision rights were named repeatedly. Systems change is leadership work with owners, not an event.</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Who has the authority to change this, and what do they need to decide?</w:t>
      </w:r>
    </w:p>
    <w:p>
      <w:pPr>
        <w:pStyle w:val="ListParagraph"/>
        <w:numPr>
          <w:ilvl w:val="0"/>
          <w:numId w:val="2"/>
        </w:numPr>
        <w:spacing w:after="80" w:line="290"/>
      </w:pPr>
      <w:r>
        <w:rPr>
          <w:rFonts w:ascii="Aptos" w:cs="Aptos" w:eastAsia="Aptos" w:hAnsi="Aptos"/>
          <w:color w:val="181817"/>
          <w:sz w:val="22"/>
          <w:szCs w:val="22"/>
        </w:rPr>
        <w:t xml:space="preserve">What is treated as immovable that is actually a choice?</w:t>
      </w:r>
    </w:p>
    <w:p>
      <w:pPr>
        <w:pStyle w:val="ListParagraph"/>
        <w:numPr>
          <w:ilvl w:val="0"/>
          <w:numId w:val="2"/>
        </w:numPr>
        <w:spacing w:after="80" w:line="290"/>
      </w:pPr>
      <w:r>
        <w:rPr>
          <w:rFonts w:ascii="Aptos" w:cs="Aptos" w:eastAsia="Aptos" w:hAnsi="Aptos"/>
          <w:color w:val="181817"/>
          <w:sz w:val="22"/>
          <w:szCs w:val="22"/>
        </w:rPr>
        <w:t xml:space="preserve">Where are equity commitments funded, staffed, and reviewed, and where are they only stated?</w:t>
      </w:r>
    </w:p>
    <w:p>
      <w:pPr>
        <w:pStyle w:val="ListParagraph"/>
        <w:numPr>
          <w:ilvl w:val="0"/>
          <w:numId w:val="2"/>
        </w:numPr>
        <w:spacing w:after="80" w:line="290"/>
      </w:pPr>
      <w:r>
        <w:rPr>
          <w:rFonts w:ascii="Aptos" w:cs="Aptos" w:eastAsia="Aptos" w:hAnsi="Aptos"/>
          <w:color w:val="181817"/>
          <w:sz w:val="22"/>
          <w:szCs w:val="22"/>
        </w:rPr>
        <w:t xml:space="preserve">How will leaders learn what is working without surveilling staff?</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Make and record an equity-informed leadership decision</w:t>
      </w:r>
    </w:p>
    <w:p>
      <w:pPr>
        <w:spacing w:after="160" w:line="300"/>
      </w:pPr>
      <w:r>
        <w:rPr>
          <w:rFonts w:ascii="Aptos" w:cs="Aptos" w:eastAsia="Aptos" w:hAnsi="Aptos"/>
          <w:color w:val="181817"/>
          <w:sz w:val="22"/>
          <w:szCs w:val="22"/>
        </w:rPr>
        <w:t xml:space="preserve">A decision record that names the equity questions considered, alternatives, owners, and the date the decision will be revisited.</w:t>
      </w:r>
    </w:p>
    <w:p>
      <w:pPr>
        <w:spacing w:after="160" w:line="300"/>
      </w:pPr>
      <w:r>
        <w:rPr>
          <w:rFonts w:ascii="Aptos" w:cs="Aptos" w:eastAsia="Aptos" w:hAnsi="Aptos"/>
          <w:color w:val="181817"/>
          <w:sz w:val="22"/>
          <w:szCs w:val="22"/>
        </w:rPr>
        <w:t xml:space="preserve">Division and administration leadership · Program and policy staff</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 eight steps for any decision</w:t>
      </w:r>
      <w:r>
        <w:rPr>
          <w:rFonts w:ascii="Aptos" w:cs="Aptos" w:eastAsia="Aptos" w:hAnsi="Aptos"/>
          <w:color w:val="181817"/>
          <w:sz w:val="22"/>
          <w:szCs w:val="22"/>
        </w:rPr>
        <w:t xml:space="preserve"> — program page /library/ja-operational-equity-canvas</w:t>
      </w:r>
    </w:p>
    <w:p>
      <w:pPr>
        <w:pStyle w:val="ListParagraph"/>
        <w:numPr>
          <w:ilvl w:val="0"/>
          <w:numId w:val="2"/>
        </w:numPr>
        <w:spacing w:after="80" w:line="290"/>
      </w:pPr>
      <w:r>
        <w:rPr>
          <w:rFonts w:ascii="Aptos" w:cs="Aptos" w:eastAsia="Aptos" w:hAnsi="Aptos"/>
          <w:b/>
          <w:bCs/>
          <w:color w:val="181817"/>
          <w:sz w:val="22"/>
          <w:szCs w:val="22"/>
        </w:rPr>
        <w:t xml:space="preserve">Start from the work you are doing: role-aware entry points</w:t>
      </w:r>
      <w:r>
        <w:rPr>
          <w:rFonts w:ascii="Aptos" w:cs="Aptos" w:eastAsia="Aptos" w:hAnsi="Aptos"/>
          <w:color w:val="181817"/>
          <w:sz w:val="22"/>
          <w:szCs w:val="22"/>
        </w:rPr>
        <w:t xml:space="preserve"> — program page /library/pn-role-aware-entry</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What should a leadership decision record contain so equity considerations are visible later?</w:t>
      </w:r>
    </w:p>
    <w:p>
      <w:pPr>
        <w:pStyle w:val="Heading3"/>
        <w:keepNext/>
        <w:spacing w:after="120" w:before="200"/>
      </w:pPr>
      <w:r>
        <w:rPr>
          <w:rFonts w:ascii="Aptos" w:cs="Aptos" w:eastAsia="Aptos" w:hAnsi="Aptos"/>
          <w:b/>
          <w:bCs/>
          <w:color w:val="003865"/>
          <w:sz w:val="24"/>
          <w:szCs w:val="24"/>
        </w:rPr>
        <w:t xml:space="preserve">Build equity into a contract, grant, or procurement</w:t>
      </w:r>
    </w:p>
    <w:p>
      <w:pPr>
        <w:spacing w:after="160" w:line="300"/>
      </w:pPr>
      <w:r>
        <w:rPr>
          <w:rFonts w:ascii="Aptos" w:cs="Aptos" w:eastAsia="Aptos" w:hAnsi="Aptos"/>
          <w:color w:val="181817"/>
          <w:sz w:val="22"/>
          <w:szCs w:val="22"/>
        </w:rPr>
        <w:t xml:space="preserve">Equity considerations in the solicitation, evaluation, and monitoring, with vendor diversity practice and accessibility requirements named.</w:t>
      </w:r>
    </w:p>
    <w:p>
      <w:pPr>
        <w:spacing w:after="160" w:line="300"/>
      </w:pPr>
      <w:r>
        <w:rPr>
          <w:rFonts w:ascii="Aptos" w:cs="Aptos" w:eastAsia="Aptos" w:hAnsi="Aptos"/>
          <w:color w:val="181817"/>
          <w:sz w:val="22"/>
          <w:szCs w:val="22"/>
        </w:rPr>
        <w:t xml:space="preserve">Fiscal, contracts, and procurement · Program and policy staff</w:t>
      </w:r>
    </w:p>
    <w:p>
      <w:pPr>
        <w:pStyle w:val="ListParagraph"/>
        <w:numPr>
          <w:ilvl w:val="0"/>
          <w:numId w:val="2"/>
        </w:numPr>
        <w:spacing w:after="80" w:line="290"/>
      </w:pPr>
      <w:r>
        <w:rPr>
          <w:rFonts w:ascii="Aptos" w:cs="Aptos" w:eastAsia="Aptos" w:hAnsi="Aptos"/>
          <w:b/>
          <w:bCs/>
          <w:color w:val="181817"/>
          <w:sz w:val="22"/>
          <w:szCs w:val="22"/>
        </w:rPr>
        <w:t xml:space="preserve">Equity in contracts, grants, and procurement: where the questions belong</w:t>
      </w:r>
      <w:r>
        <w:rPr>
          <w:rFonts w:ascii="Aptos" w:cs="Aptos" w:eastAsia="Aptos" w:hAnsi="Aptos"/>
          <w:color w:val="181817"/>
          <w:sz w:val="22"/>
          <w:szCs w:val="22"/>
        </w:rPr>
        <w:t xml:space="preserve"> — program page /library/ja-procurement-contract-equity</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drafting a request for proposals. Where do equity and accessibility requirements belong?</w:t>
      </w:r>
    </w:p>
    <w:p>
      <w:pPr>
        <w:pStyle w:val="Heading3"/>
        <w:keepNext/>
        <w:spacing w:after="120" w:before="200"/>
      </w:pPr>
      <w:r>
        <w:rPr>
          <w:rFonts w:ascii="Aptos" w:cs="Aptos" w:eastAsia="Aptos" w:hAnsi="Aptos"/>
          <w:b/>
          <w:bCs/>
          <w:color w:val="003865"/>
          <w:sz w:val="24"/>
          <w:szCs w:val="24"/>
        </w:rPr>
        <w:t xml:space="preserve">Develop leaders and leadership pathways</w:t>
      </w:r>
    </w:p>
    <w:p>
      <w:pPr>
        <w:spacing w:after="160" w:line="300"/>
      </w:pPr>
      <w:r>
        <w:rPr>
          <w:rFonts w:ascii="Aptos" w:cs="Aptos" w:eastAsia="Aptos" w:hAnsi="Aptos"/>
          <w:color w:val="181817"/>
          <w:sz w:val="22"/>
          <w:szCs w:val="22"/>
        </w:rPr>
        <w:t xml:space="preserve">Transparent pathways, sponsorship, and leadership learning that connect to the State's Emerging Leaders Institute and DHS practice.</w:t>
      </w:r>
    </w:p>
    <w:p>
      <w:pPr>
        <w:spacing w:after="160" w:line="300"/>
      </w:pPr>
      <w:r>
        <w:rPr>
          <w:rFonts w:ascii="Aptos" w:cs="Aptos" w:eastAsia="Aptos" w:hAnsi="Aptos"/>
          <w:color w:val="181817"/>
          <w:sz w:val="22"/>
          <w:szCs w:val="22"/>
        </w:rPr>
        <w:t xml:space="preserve">Division and administration leadership · Supervisors and managers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 three different things</w:t>
      </w:r>
      <w:r>
        <w:rPr>
          <w:rFonts w:ascii="Aptos" w:cs="Aptos" w:eastAsia="Aptos" w:hAnsi="Aptos"/>
          <w:color w:val="181817"/>
          <w:sz w:val="22"/>
          <w:szCs w:val="22"/>
        </w:rPr>
        <w:t xml:space="preserve"> — program page /library/pn-mentoring-sponsorship</w:t>
      </w:r>
    </w:p>
    <w:p>
      <w:pPr>
        <w:pStyle w:val="ListParagraph"/>
        <w:numPr>
          <w:ilvl w:val="0"/>
          <w:numId w:val="2"/>
        </w:numPr>
        <w:spacing w:after="80" w:line="290"/>
      </w:pPr>
      <w:r>
        <w:rPr>
          <w:rFonts w:ascii="Aptos" w:cs="Aptos" w:eastAsia="Aptos" w:hAnsi="Aptos"/>
          <w:b/>
          <w:bCs/>
          <w:color w:val="181817"/>
          <w:sz w:val="22"/>
          <w:szCs w:val="22"/>
        </w:rPr>
        <w:t xml:space="preserve">State of Minnesota Emerging Leaders Institute</w:t>
      </w:r>
      <w:r>
        <w:rPr>
          <w:rFonts w:ascii="Aptos" w:cs="Aptos" w:eastAsia="Aptos" w:hAnsi="Aptos"/>
          <w:color w:val="181817"/>
          <w:sz w:val="22"/>
          <w:szCs w:val="22"/>
        </w:rPr>
        <w:t xml:space="preserve"> — program page /library/ext-emerging-leaders-institute</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we build leadership pathways that people can actually see and enter?</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GARE Racial Equity Toolkit</w:t>
      </w:r>
      <w:r>
        <w:rPr>
          <w:rFonts w:ascii="Aptos" w:cs="Aptos" w:eastAsia="Aptos" w:hAnsi="Aptos"/>
          <w:color w:val="181817"/>
          <w:sz w:val="22"/>
          <w:szCs w:val="22"/>
        </w:rPr>
        <w:t xml:space="preserve"> — 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Style w:val="ListParagraph"/>
        <w:numPr>
          <w:ilvl w:val="0"/>
          <w:numId w:val="2"/>
        </w:numPr>
        <w:spacing w:after="80" w:line="290"/>
      </w:pPr>
      <w:r>
        <w:rPr>
          <w:rFonts w:ascii="Aptos" w:cs="Aptos" w:eastAsia="Aptos" w:hAnsi="Aptos"/>
          <w:b/>
          <w:bCs/>
          <w:color w:val="181817"/>
          <w:sz w:val="22"/>
          <w:szCs w:val="22"/>
        </w:rPr>
        <w:t xml:space="preserve">Tool card: Minnesota Equity Analysis Toolkit</w:t>
      </w:r>
      <w:r>
        <w:rPr>
          <w:rFonts w:ascii="Aptos" w:cs="Aptos" w:eastAsia="Aptos" w:hAnsi="Aptos"/>
          <w:color w:val="181817"/>
          <w:sz w:val="22"/>
          <w:szCs w:val="22"/>
        </w:rPr>
        <w:t xml:space="preserve"> — The State of Minnesota's official equity analysis toolkit, published by Minnesota Management and Budget, used with the DHS Equity Policy. Public. Permitted use: cite, link, follow. The policy owner determines when it is required.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governance, and systems change</dc:title>
  <dc:creator>One DHS People, Access and Culture</dc:creator>
  <dc:description>Moving from foundation to integration to institutionalization: decision rights, resources, accountability, and the leadership practices that make equity part of how the organization runs.</dc:description>
  <cp:lastModifiedBy>Un-named</cp:lastModifiedBy>
  <cp:revision>1</cp:revision>
  <dcterms:created xsi:type="dcterms:W3CDTF">2026-10-05T01:16:10.325Z</dcterms:created>
  <dcterms:modified xsi:type="dcterms:W3CDTF">2026-10-05T01:16:10.325Z</dcterms:modified>
</cp:coreProperties>
</file>

<file path=docProps/custom.xml><?xml version="1.0" encoding="utf-8"?>
<Properties xmlns="http://schemas.openxmlformats.org/officeDocument/2006/custom-properties" xmlns:vt="http://schemas.openxmlformats.org/officeDocument/2006/docPropsVTypes"/>
</file>