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AREA OF WORK · ACCESSIBILITY, LANGUAGE, AND INCLUSIVE MEETINGS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Accessibility, language access, and inclusive operations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Making documents, meetings, forms, systems, and contact points usable by people with disabilities and people who use languages other than English, as a matter of practice rather than exception.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Goals: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Communication and accessibility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Why it matters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Inaccessible forms, unclear accessibility ownership, and translation gaps were among the most concrete barriers DSD staff named. Each one has a fix with an owner.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begin with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Who is responsible for accessibility of this item, and do they know it?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Is this a vital document, and which languages and formats does it need?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How will someone participate if the default format does not work for them?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does the process ask of people, and what can be removed?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Work you can take forward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Run an accessible and culturally responsive meeting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Purpose and materials in advance, accommodation language that does not force disclosure, several ways to participate, clear decisions and owners, accessible follow-up.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Supervisors and managers · Program and policy staff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Accessible and culturally responsive meetings: before, during, and after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/library/ja-accessible-meetings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Access checks before a meeting, outreach, or session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/library/ja-access-checks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What should I do before, during, and after a team meeting so everyone can actually take part?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Make a document, form, or notice accessible and plain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Semantic structure, plain language, alternative formats, and a review before publication.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Communications and language access · Program and policy staff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Plain language and accessible documents checklist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/library/ja-plain-language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Minnesota digital accessibility standard (MNIT)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/library/ext-mn-accessibility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Plain language carries complexity: it does not remove it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/library/lm-plain-language-carries-complexity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How do I write a plain-language notice without losing the details people need?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Plan language and cultural access for a program or contact point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Languages, formats, interpreter availability at first contact, vital-document review, and trusted messengers planned together.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Communications and language access · Service delivery and support planning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Language and cultural access planning aid for a program or contact point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/library/ja-language-cultural-access-planning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Language access checklist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/library/ja-language-access-checklist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Working with a spoken-language interpreter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/library/lm-interpreter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We are opening a new intake line. What language and cultural access planning should happen first?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Tools and frameworks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Tool card: National CLAS Standards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The National Standards for Culturally and Linguistically Appropriate Services, published by the U.S. Department of Health and Human Services Office of Minority Health. Public. Permitted use: cite, link, follow as a frame for language and cultural access planning.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Tool card: State of Minnesota accessibility standard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The State of Minnesota digital accessibility standard, currently Section 508 plus WCAG 2.1 Level A and AA, and the accessible document guidance that accompanies it. Public. This program keeps WCAG 2.2 Level AA as its own stronger release target.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In DSD work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One DSD adds division access practices, MnCHOICES and waiver examples, and DSD accommodation scenarios.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MnCHOICES access and assessment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Accessible documents and web content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Sensory and communication accommodations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Language access for waiver services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Connected programs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MnCHOICES assessment and access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Early Intensive Developmental and Behavioral Intervention and children's services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Training, communication, and strategic communications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Situations to explore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required form cannot be completed with a screen reader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First contact happens in English only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Accessibility, language access, and inclusive operations</dc:title>
  <dc:creator>One DSD People, Access and Culture</dc:creator>
  <dc:description>Making documents, meetings, forms, systems, and contact points usable by people with disabilities and people who use languages other than English, as a matter of practice rather than exception.</dc:description>
  <cp:lastModifiedBy>Un-named</cp:lastModifiedBy>
  <cp:revision>1</cp:revision>
  <dcterms:created xsi:type="dcterms:W3CDTF">2026-10-05T18:39:37.431Z</dcterms:created>
  <dcterms:modified xsi:type="dcterms:W3CDTF">2026-10-05T18:39:37.431Z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