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DHS PEOPLE, ACCESS AND CULTURE · AREA OF WORK · ACCESSIBILITY, LANGUAGE, AND INCLUSIVE MEETINGS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Accessibility, language access, and inclusive operations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Making documents, meetings, forms, systems, and contact points usable by people with disabilities and people who use languages other than English, as a matter of practice rather than exception.</w:t>
      </w:r>
    </w:p>
    <w:p>
      <w:pPr>
        <w:pBdr>
          <w:bottom w:val="single" w:color="003865" w:sz="12" w:space="12"/>
        </w:pBdr>
        <w:spacing w:after="100"/>
      </w:pPr>
      <w:r>
        <w:rPr>
          <w:rFonts w:ascii="Aptos" w:cs="Aptos" w:eastAsia="Aptos" w:hAnsi="Aptos"/>
          <w:b/>
          <w:bCs/>
          <w:color w:val="353532"/>
          <w:sz w:val="18"/>
          <w:szCs w:val="18"/>
        </w:rPr>
        <w:t xml:space="preserve">Goals: </w:t>
      </w:r>
      <w:r>
        <w:rPr>
          <w:rFonts w:ascii="Aptos" w:cs="Aptos" w:eastAsia="Aptos" w:hAnsi="Aptos"/>
          <w:color w:val="353532"/>
          <w:sz w:val="18"/>
          <w:szCs w:val="18"/>
        </w:rPr>
        <w:t xml:space="preserve">Communication and accessibility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Why it matters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Inaccessible forms, unclear accessibility ownership, and translation gaps were among the most concrete barriers DSD staff named. Each one has a fix with an owner.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Questions to begin with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Who is responsible for accessibility of this item, and do they know it?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Is this a vital document, and which languages and formats does it need?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How will someone participate if the default format does not work for them?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What does the process ask of people, and what can be removed?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Work you can take forward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Run an accessible and culturally responsive meeting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Purpose and materials in advance, accommodation language that does not force disclosure, several ways to participate, clear decisions and owners, accessible follow-up.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Supervisors and managers · Program and policy staff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Accessible and culturally responsive meetings: before, during, and after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/library/ja-accessible-meetings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Access checks before a meeting, outreach, or session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/library/ja-access-checks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Ask: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What should I do before, during, and after a team meeting so everyone can actually take part?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Make a document, form, or notice accessible and plain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Semantic structure, plain language, alternative formats, and a review before publication.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Communications and language access · Program and policy staff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Plain language and accessible documents checklist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/library/ja-plain-language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Minnesota digital accessibility standard (MNIT)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/library/ext-mn-accessibility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Plain language carries complexity: it does not remove it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/library/lm-plain-language-carries-complexity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Ask: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How do I write a plain-language notice without losing the details people need?</w:t>
      </w:r>
    </w:p>
    <w:p>
      <w:pPr>
        <w:pStyle w:val="Heading3"/>
        <w:keepNext/>
        <w:spacing w:after="120" w:before="200"/>
      </w:pPr>
      <w:r>
        <w:rPr>
          <w:rFonts w:ascii="Aptos" w:cs="Aptos" w:eastAsia="Aptos" w:hAnsi="Aptos"/>
          <w:b/>
          <w:bCs/>
          <w:color w:val="003865"/>
          <w:sz w:val="24"/>
          <w:szCs w:val="24"/>
        </w:rPr>
        <w:t xml:space="preserve">Plan language and cultural access for a program or contact point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Languages, formats, interpreter availability at first contact, vital-document review, and trusted messengers planned together.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Communications and language access · Service delivery and support planning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Language and cultural access planning aid for a program or contact point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/library/ja-language-cultural-access-planning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Language access checklist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/library/ja-language-access-checklist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Working with a spoken-language interpreter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/library/lm-interpreter</w:t>
      </w:r>
    </w:p>
    <w:p>
      <w:pPr>
        <w:spacing w:after="160" w:line="30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Ask: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We are opening a new intake line. What language and cultural access planning should happen first?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Tools and frameworks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Tool card: National CLAS Standards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The National Standards for Culturally and Linguistically Appropriate Services, published by the U.S. Department of Health and Human Services Office of Minority Health. Public. Permitted use: cite, link, follow as a frame for language and cultural access planning.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Tool card: State of Minnesota accessibility standard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The State of Minnesota digital accessibility standard, currently Section 508 plus WCAG 2.1 Level A and AA, and the accessible document guidance that accompanies it. Public. This program keeps WCAG 2.2 Level AA as its own stronger release target.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DHS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Accessibility, language access, and inclusive operations</dc:title>
  <dc:creator>One DHS People, Access and Culture</dc:creator>
  <dc:description>Making documents, meetings, forms, systems, and contact points usable by people with disabilities and people who use languages other than English, as a matter of practice rather than exception.</dc:description>
  <cp:lastModifiedBy>Un-named</cp:lastModifiedBy>
  <cp:revision>1</cp:revision>
  <dcterms:created xsi:type="dcterms:W3CDTF">2026-10-05T09:46:45.965Z</dcterms:created>
  <dcterms:modified xsi:type="dcterms:W3CDTF">2026-10-05T09:46:45.965Z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